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269" w:rsidRPr="00683375" w:rsidRDefault="00FF1269" w:rsidP="00E02595">
      <w:pPr>
        <w:shd w:val="clear" w:color="auto" w:fill="FFFFFF"/>
        <w:spacing w:after="0" w:line="360" w:lineRule="auto"/>
        <w:rPr>
          <w:rFonts w:ascii="Arial" w:hAnsi="Arial" w:cs="Arial"/>
          <w:b/>
          <w:bCs/>
          <w:color w:val="000000"/>
          <w:sz w:val="24"/>
          <w:szCs w:val="24"/>
        </w:rPr>
      </w:pPr>
    </w:p>
    <w:p w:rsidR="00E02595" w:rsidRPr="00683375" w:rsidRDefault="00224836" w:rsidP="00E02595">
      <w:pPr>
        <w:shd w:val="clear" w:color="auto" w:fill="FFFFFF"/>
        <w:spacing w:after="0" w:line="360" w:lineRule="auto"/>
        <w:rPr>
          <w:rFonts w:ascii="Arial" w:hAnsi="Arial" w:cs="Arial"/>
          <w:b/>
          <w:bCs/>
          <w:color w:val="000000"/>
          <w:sz w:val="24"/>
          <w:szCs w:val="24"/>
        </w:rPr>
      </w:pPr>
      <w:r w:rsidRPr="00683375">
        <w:rPr>
          <w:rFonts w:ascii="Arial" w:hAnsi="Arial" w:cs="Arial"/>
          <w:b/>
          <w:bCs/>
          <w:color w:val="000000"/>
          <w:sz w:val="24"/>
          <w:szCs w:val="24"/>
        </w:rPr>
        <w:t>Diputad</w:t>
      </w:r>
      <w:r w:rsidR="00812B2B" w:rsidRPr="00683375">
        <w:rPr>
          <w:rFonts w:ascii="Arial" w:hAnsi="Arial" w:cs="Arial"/>
          <w:b/>
          <w:bCs/>
          <w:color w:val="000000"/>
          <w:sz w:val="24"/>
          <w:szCs w:val="24"/>
        </w:rPr>
        <w:t>o</w:t>
      </w:r>
      <w:r w:rsidRPr="00683375">
        <w:rPr>
          <w:rFonts w:ascii="Arial" w:hAnsi="Arial" w:cs="Arial"/>
          <w:b/>
          <w:bCs/>
          <w:color w:val="000000"/>
          <w:sz w:val="24"/>
          <w:szCs w:val="24"/>
        </w:rPr>
        <w:t xml:space="preserve"> </w:t>
      </w:r>
      <w:r w:rsidR="004E1A50" w:rsidRPr="00683375">
        <w:rPr>
          <w:rFonts w:ascii="Arial" w:hAnsi="Arial" w:cs="Arial"/>
          <w:b/>
          <w:bCs/>
          <w:color w:val="000000"/>
          <w:sz w:val="24"/>
          <w:szCs w:val="24"/>
        </w:rPr>
        <w:t>Mario Alejandro Cuevas Mena</w:t>
      </w:r>
    </w:p>
    <w:p w:rsidR="00224836" w:rsidRPr="00683375" w:rsidRDefault="00224836" w:rsidP="00E02595">
      <w:pPr>
        <w:shd w:val="clear" w:color="auto" w:fill="FFFFFF"/>
        <w:spacing w:after="0" w:line="360" w:lineRule="auto"/>
        <w:rPr>
          <w:rFonts w:ascii="Arial" w:hAnsi="Arial" w:cs="Arial"/>
          <w:b/>
          <w:bCs/>
          <w:color w:val="000000"/>
          <w:sz w:val="24"/>
          <w:szCs w:val="24"/>
        </w:rPr>
      </w:pPr>
      <w:r w:rsidRPr="00683375">
        <w:rPr>
          <w:rFonts w:ascii="Arial" w:hAnsi="Arial" w:cs="Arial"/>
          <w:b/>
          <w:bCs/>
          <w:color w:val="000000"/>
          <w:sz w:val="24"/>
          <w:szCs w:val="24"/>
        </w:rPr>
        <w:t>President</w:t>
      </w:r>
      <w:r w:rsidR="00397BF6" w:rsidRPr="00683375">
        <w:rPr>
          <w:rFonts w:ascii="Arial" w:hAnsi="Arial" w:cs="Arial"/>
          <w:b/>
          <w:bCs/>
          <w:color w:val="000000"/>
          <w:sz w:val="24"/>
          <w:szCs w:val="24"/>
        </w:rPr>
        <w:t xml:space="preserve">e de la </w:t>
      </w:r>
      <w:r w:rsidRPr="00683375">
        <w:rPr>
          <w:rFonts w:ascii="Arial" w:hAnsi="Arial" w:cs="Arial"/>
          <w:b/>
          <w:bCs/>
          <w:color w:val="000000"/>
          <w:sz w:val="24"/>
          <w:szCs w:val="24"/>
        </w:rPr>
        <w:t>Mesa Directiva</w:t>
      </w:r>
    </w:p>
    <w:p w:rsidR="00224836" w:rsidRPr="00683375" w:rsidRDefault="00224836" w:rsidP="00E02595">
      <w:pPr>
        <w:shd w:val="clear" w:color="auto" w:fill="FFFFFF"/>
        <w:spacing w:after="0" w:line="360" w:lineRule="auto"/>
        <w:jc w:val="both"/>
        <w:rPr>
          <w:rFonts w:ascii="Arial" w:hAnsi="Arial" w:cs="Arial"/>
          <w:b/>
          <w:bCs/>
          <w:color w:val="000000"/>
          <w:sz w:val="24"/>
          <w:szCs w:val="24"/>
        </w:rPr>
      </w:pPr>
      <w:r w:rsidRPr="00683375">
        <w:rPr>
          <w:rFonts w:ascii="Arial" w:hAnsi="Arial" w:cs="Arial"/>
          <w:b/>
          <w:bCs/>
          <w:color w:val="000000"/>
          <w:sz w:val="24"/>
          <w:szCs w:val="24"/>
        </w:rPr>
        <w:t>Del Honorable Congreso De Yucatán</w:t>
      </w:r>
    </w:p>
    <w:p w:rsidR="004E1347" w:rsidRPr="00683375" w:rsidRDefault="004E1347" w:rsidP="00C91B54">
      <w:pPr>
        <w:shd w:val="clear" w:color="auto" w:fill="FFFFFF"/>
        <w:spacing w:after="0" w:line="360" w:lineRule="auto"/>
        <w:jc w:val="both"/>
        <w:rPr>
          <w:rFonts w:ascii="Arial" w:hAnsi="Arial" w:cs="Arial"/>
          <w:b/>
          <w:bCs/>
          <w:color w:val="000000"/>
          <w:sz w:val="24"/>
          <w:szCs w:val="24"/>
        </w:rPr>
      </w:pPr>
    </w:p>
    <w:p w:rsidR="004E1347" w:rsidRPr="00683375" w:rsidRDefault="00BB25ED" w:rsidP="00C91B54">
      <w:pPr>
        <w:spacing w:line="360" w:lineRule="auto"/>
        <w:jc w:val="both"/>
        <w:rPr>
          <w:rFonts w:ascii="Arial" w:hAnsi="Arial" w:cs="Arial"/>
          <w:color w:val="000000" w:themeColor="text1"/>
          <w:sz w:val="24"/>
          <w:szCs w:val="24"/>
        </w:rPr>
      </w:pPr>
      <w:r w:rsidRPr="00683375">
        <w:rPr>
          <w:rFonts w:ascii="Arial" w:hAnsi="Arial" w:cs="Arial"/>
          <w:b/>
          <w:bCs/>
          <w:color w:val="000000" w:themeColor="text1"/>
          <w:sz w:val="24"/>
          <w:szCs w:val="24"/>
        </w:rPr>
        <w:t>ALBA CRISTINA COB CORTES</w:t>
      </w:r>
      <w:r w:rsidRPr="00683375">
        <w:rPr>
          <w:rFonts w:ascii="Arial" w:hAnsi="Arial" w:cs="Arial"/>
          <w:color w:val="000000" w:themeColor="text1"/>
          <w:sz w:val="24"/>
          <w:szCs w:val="24"/>
        </w:rPr>
        <w:t xml:space="preserve">, Diputada de la LXIV Legislatura del Estado de Yucatán, </w:t>
      </w:r>
      <w:r w:rsidR="004E1347" w:rsidRPr="00683375">
        <w:rPr>
          <w:rFonts w:ascii="Arial" w:hAnsi="Arial" w:cs="Arial"/>
          <w:color w:val="000000" w:themeColor="text1"/>
          <w:sz w:val="24"/>
          <w:szCs w:val="24"/>
        </w:rPr>
        <w:t>como integrante de la Fracción Parlamentaria de MORENA, grupo Parlamentario del Partido del Trabajo y Partido Verde Ecologista de México, con fundamento en los artículos 18, 30 fracción V</w:t>
      </w:r>
      <w:r w:rsidR="007842BC" w:rsidRPr="00683375">
        <w:rPr>
          <w:rFonts w:ascii="Arial" w:hAnsi="Arial" w:cs="Arial"/>
          <w:color w:val="000000" w:themeColor="text1"/>
          <w:sz w:val="24"/>
          <w:szCs w:val="24"/>
        </w:rPr>
        <w:t xml:space="preserve">; </w:t>
      </w:r>
      <w:r w:rsidR="004E1347" w:rsidRPr="00683375">
        <w:rPr>
          <w:rFonts w:ascii="Arial" w:hAnsi="Arial" w:cs="Arial"/>
          <w:color w:val="000000" w:themeColor="text1"/>
          <w:sz w:val="24"/>
          <w:szCs w:val="24"/>
        </w:rPr>
        <w:t xml:space="preserve">así como </w:t>
      </w:r>
      <w:r w:rsidR="007842BC" w:rsidRPr="00683375">
        <w:rPr>
          <w:rFonts w:ascii="Arial" w:hAnsi="Arial" w:cs="Arial"/>
          <w:color w:val="000000" w:themeColor="text1"/>
          <w:sz w:val="24"/>
          <w:szCs w:val="24"/>
        </w:rPr>
        <w:t xml:space="preserve">el </w:t>
      </w:r>
      <w:r w:rsidR="004E1347" w:rsidRPr="00683375">
        <w:rPr>
          <w:rFonts w:ascii="Arial" w:hAnsi="Arial" w:cs="Arial"/>
          <w:color w:val="000000" w:themeColor="text1"/>
          <w:sz w:val="24"/>
          <w:szCs w:val="24"/>
        </w:rPr>
        <w:t>35 fracción I de la Constitución Política del Estado de Yucatán; 3, 16 y 22 fracción VI de la Ley de Gobierno del Poder Legislativo del Estad</w:t>
      </w:r>
      <w:r w:rsidR="00F21846" w:rsidRPr="00683375">
        <w:rPr>
          <w:rFonts w:ascii="Arial" w:hAnsi="Arial" w:cs="Arial"/>
          <w:color w:val="000000" w:themeColor="text1"/>
          <w:sz w:val="24"/>
          <w:szCs w:val="24"/>
        </w:rPr>
        <w:t xml:space="preserve">o de Yucatán; 3 fracción XI, 68 y 69 </w:t>
      </w:r>
      <w:r w:rsidR="004E1347" w:rsidRPr="00683375">
        <w:rPr>
          <w:rFonts w:ascii="Arial" w:hAnsi="Arial" w:cs="Arial"/>
          <w:color w:val="000000" w:themeColor="text1"/>
          <w:sz w:val="24"/>
          <w:szCs w:val="24"/>
        </w:rPr>
        <w:t xml:space="preserve">del Reglamento de la Ley de Gobierno del Poder Legislativo del Estado de Yucatán, presentamos ante el pleno de esta Soberanía la siguiente: </w:t>
      </w:r>
    </w:p>
    <w:p w:rsidR="004E1347" w:rsidRPr="00683375" w:rsidRDefault="004E1347" w:rsidP="00C91B54">
      <w:pPr>
        <w:shd w:val="clear" w:color="auto" w:fill="FFFFFF"/>
        <w:spacing w:after="0" w:line="360" w:lineRule="auto"/>
        <w:jc w:val="both"/>
        <w:rPr>
          <w:rFonts w:ascii="Arial" w:hAnsi="Arial" w:cs="Arial"/>
          <w:b/>
          <w:bCs/>
          <w:color w:val="000000"/>
          <w:sz w:val="24"/>
          <w:szCs w:val="24"/>
        </w:rPr>
      </w:pPr>
    </w:p>
    <w:p w:rsidR="004E1347" w:rsidRPr="00683375" w:rsidRDefault="00485FF0" w:rsidP="00C91B54">
      <w:pPr>
        <w:spacing w:line="360" w:lineRule="auto"/>
        <w:jc w:val="both"/>
        <w:rPr>
          <w:rFonts w:ascii="Arial" w:hAnsi="Arial" w:cs="Arial"/>
          <w:b/>
          <w:bCs/>
          <w:sz w:val="24"/>
          <w:szCs w:val="24"/>
        </w:rPr>
      </w:pPr>
      <w:r w:rsidRPr="00683375">
        <w:rPr>
          <w:rFonts w:ascii="Arial" w:hAnsi="Arial" w:cs="Arial"/>
          <w:b/>
          <w:bCs/>
          <w:sz w:val="24"/>
          <w:szCs w:val="24"/>
        </w:rPr>
        <w:t xml:space="preserve">INICIATIVA CON PROYECTO DE DECRETO POR EL QUE SE REFORMA </w:t>
      </w:r>
      <w:bookmarkStart w:id="0" w:name="_Hlk210400781"/>
      <w:r w:rsidRPr="00683375">
        <w:rPr>
          <w:rFonts w:ascii="Arial" w:eastAsia="Times New Roman" w:hAnsi="Arial" w:cs="Arial"/>
          <w:b/>
          <w:bCs/>
          <w:sz w:val="24"/>
          <w:szCs w:val="24"/>
          <w:lang w:eastAsia="es-MX"/>
        </w:rPr>
        <w:t>EL CÓDIGO PENAL DEL ESTADO DE YUCATÁN EN MATERIA DE TRANSHOMICIDIO</w:t>
      </w:r>
      <w:bookmarkEnd w:id="0"/>
      <w:r w:rsidR="004E1347" w:rsidRPr="00683375">
        <w:rPr>
          <w:rFonts w:ascii="Arial" w:hAnsi="Arial" w:cs="Arial"/>
          <w:b/>
          <w:bCs/>
          <w:sz w:val="24"/>
          <w:szCs w:val="24"/>
        </w:rPr>
        <w:t xml:space="preserve">, </w:t>
      </w:r>
      <w:r w:rsidR="004E1347" w:rsidRPr="00683375">
        <w:rPr>
          <w:rFonts w:ascii="Arial" w:hAnsi="Arial" w:cs="Arial"/>
          <w:bCs/>
          <w:sz w:val="24"/>
          <w:szCs w:val="24"/>
        </w:rPr>
        <w:t>al tenor de la siguiente</w:t>
      </w:r>
      <w:r w:rsidR="00C344F3" w:rsidRPr="00683375">
        <w:rPr>
          <w:rFonts w:ascii="Arial" w:hAnsi="Arial" w:cs="Arial"/>
          <w:b/>
          <w:bCs/>
          <w:sz w:val="24"/>
          <w:szCs w:val="24"/>
        </w:rPr>
        <w:t>:</w:t>
      </w:r>
    </w:p>
    <w:p w:rsidR="00926685" w:rsidRPr="00683375" w:rsidRDefault="00926685" w:rsidP="00C91B54">
      <w:pPr>
        <w:spacing w:line="360" w:lineRule="auto"/>
        <w:jc w:val="both"/>
        <w:rPr>
          <w:rFonts w:ascii="Arial" w:hAnsi="Arial" w:cs="Arial"/>
          <w:b/>
          <w:bCs/>
          <w:sz w:val="24"/>
          <w:szCs w:val="24"/>
        </w:rPr>
      </w:pPr>
    </w:p>
    <w:p w:rsidR="00224836" w:rsidRDefault="00E72647" w:rsidP="00C91B54">
      <w:pPr>
        <w:spacing w:line="360" w:lineRule="auto"/>
        <w:jc w:val="center"/>
        <w:rPr>
          <w:rFonts w:ascii="Arial" w:hAnsi="Arial" w:cs="Arial"/>
          <w:b/>
          <w:bCs/>
          <w:color w:val="000000"/>
          <w:spacing w:val="60"/>
          <w:sz w:val="24"/>
          <w:szCs w:val="24"/>
        </w:rPr>
      </w:pPr>
      <w:r w:rsidRPr="00683375">
        <w:rPr>
          <w:rFonts w:ascii="Arial" w:hAnsi="Arial" w:cs="Arial"/>
          <w:b/>
          <w:bCs/>
          <w:color w:val="000000"/>
          <w:spacing w:val="60"/>
          <w:sz w:val="24"/>
          <w:szCs w:val="24"/>
        </w:rPr>
        <w:t>EXPOSICIÓN DE MOTIVOS</w:t>
      </w:r>
    </w:p>
    <w:p w:rsidR="00485FF0" w:rsidRPr="00683375" w:rsidRDefault="00485FF0" w:rsidP="00C91B54">
      <w:pPr>
        <w:spacing w:line="360" w:lineRule="auto"/>
        <w:jc w:val="center"/>
        <w:rPr>
          <w:rFonts w:ascii="Arial" w:hAnsi="Arial" w:cs="Arial"/>
          <w:b/>
          <w:bCs/>
          <w:spacing w:val="60"/>
          <w:sz w:val="24"/>
          <w:szCs w:val="24"/>
        </w:rPr>
      </w:pPr>
    </w:p>
    <w:p w:rsidR="00DD099C" w:rsidRPr="00683375" w:rsidRDefault="00004541" w:rsidP="00C91B54">
      <w:pPr>
        <w:spacing w:line="360" w:lineRule="auto"/>
        <w:jc w:val="both"/>
        <w:rPr>
          <w:rFonts w:ascii="Arial" w:hAnsi="Arial" w:cs="Arial"/>
          <w:sz w:val="24"/>
          <w:szCs w:val="24"/>
        </w:rPr>
      </w:pPr>
      <w:r w:rsidRPr="00683375">
        <w:rPr>
          <w:rFonts w:ascii="Arial" w:hAnsi="Arial" w:cs="Arial"/>
          <w:sz w:val="24"/>
          <w:szCs w:val="24"/>
        </w:rPr>
        <w:t>Las personas LGBTI+</w:t>
      </w:r>
      <w:r w:rsidR="00DD099C" w:rsidRPr="00683375">
        <w:rPr>
          <w:rFonts w:ascii="Arial" w:hAnsi="Arial" w:cs="Arial"/>
          <w:sz w:val="24"/>
          <w:szCs w:val="24"/>
        </w:rPr>
        <w:t xml:space="preserve"> en nuestro estado, sin duda, han sido y son aún, objeto de una </w:t>
      </w:r>
      <w:r w:rsidR="00AE21FD" w:rsidRPr="00683375">
        <w:rPr>
          <w:rFonts w:ascii="Arial" w:hAnsi="Arial" w:cs="Arial"/>
          <w:sz w:val="24"/>
          <w:szCs w:val="24"/>
        </w:rPr>
        <w:t>Interseccionalidad</w:t>
      </w:r>
      <w:r w:rsidR="00F47E31" w:rsidRPr="00683375">
        <w:rPr>
          <w:rFonts w:ascii="Arial" w:hAnsi="Arial" w:cs="Arial"/>
          <w:sz w:val="24"/>
          <w:szCs w:val="24"/>
        </w:rPr>
        <w:t xml:space="preserve"> </w:t>
      </w:r>
      <w:r w:rsidR="00DD099C" w:rsidRPr="00683375">
        <w:rPr>
          <w:rFonts w:ascii="Arial" w:hAnsi="Arial" w:cs="Arial"/>
          <w:sz w:val="24"/>
          <w:szCs w:val="24"/>
        </w:rPr>
        <w:t xml:space="preserve">de vulnerabilidades que derivan en la exclusión social, discriminación, rechazo cultural a </w:t>
      </w:r>
      <w:r w:rsidR="00F47E31" w:rsidRPr="00683375">
        <w:rPr>
          <w:rFonts w:ascii="Arial" w:hAnsi="Arial" w:cs="Arial"/>
          <w:sz w:val="24"/>
          <w:szCs w:val="24"/>
        </w:rPr>
        <w:t xml:space="preserve">su elección performativa, a la propia </w:t>
      </w:r>
      <w:r w:rsidR="00DD099C" w:rsidRPr="00683375">
        <w:rPr>
          <w:rFonts w:ascii="Arial" w:hAnsi="Arial" w:cs="Arial"/>
          <w:sz w:val="24"/>
          <w:szCs w:val="24"/>
        </w:rPr>
        <w:t>subjetividad, agresión física y en general a todo tipo de violencias que</w:t>
      </w:r>
      <w:r w:rsidR="00F47E31" w:rsidRPr="00683375">
        <w:rPr>
          <w:rFonts w:ascii="Arial" w:hAnsi="Arial" w:cs="Arial"/>
          <w:sz w:val="24"/>
          <w:szCs w:val="24"/>
        </w:rPr>
        <w:t>, lastimosamente,</w:t>
      </w:r>
      <w:r w:rsidR="00DD099C" w:rsidRPr="00683375">
        <w:rPr>
          <w:rFonts w:ascii="Arial" w:hAnsi="Arial" w:cs="Arial"/>
          <w:sz w:val="24"/>
          <w:szCs w:val="24"/>
        </w:rPr>
        <w:t xml:space="preserve"> llegan a atentar contra su propia vida. Súmese el componente étnico</w:t>
      </w:r>
      <w:r w:rsidRPr="00683375">
        <w:rPr>
          <w:rFonts w:ascii="Arial" w:hAnsi="Arial" w:cs="Arial"/>
          <w:sz w:val="24"/>
          <w:szCs w:val="24"/>
        </w:rPr>
        <w:t>-racial</w:t>
      </w:r>
      <w:r w:rsidR="00DD099C" w:rsidRPr="00683375">
        <w:rPr>
          <w:rFonts w:ascii="Arial" w:hAnsi="Arial" w:cs="Arial"/>
          <w:sz w:val="24"/>
          <w:szCs w:val="24"/>
        </w:rPr>
        <w:t xml:space="preserve"> de Yucatán, donde la población maya</w:t>
      </w:r>
      <w:r w:rsidRPr="00683375">
        <w:rPr>
          <w:rFonts w:ascii="Arial" w:hAnsi="Arial" w:cs="Arial"/>
          <w:sz w:val="24"/>
          <w:szCs w:val="24"/>
        </w:rPr>
        <w:t xml:space="preserve"> y racializad</w:t>
      </w:r>
      <w:r w:rsidR="00A35002" w:rsidRPr="00683375">
        <w:rPr>
          <w:rFonts w:ascii="Arial" w:hAnsi="Arial" w:cs="Arial"/>
          <w:sz w:val="24"/>
          <w:szCs w:val="24"/>
        </w:rPr>
        <w:t>a</w:t>
      </w:r>
      <w:r w:rsidR="00DD099C" w:rsidRPr="00683375">
        <w:rPr>
          <w:rFonts w:ascii="Arial" w:hAnsi="Arial" w:cs="Arial"/>
          <w:sz w:val="24"/>
          <w:szCs w:val="24"/>
        </w:rPr>
        <w:t xml:space="preserve"> no ha dejado de ser un sector social desprotegido, que década tras década de administraciones estatales y federales</w:t>
      </w:r>
      <w:r w:rsidR="0070494A" w:rsidRPr="00683375">
        <w:rPr>
          <w:rFonts w:ascii="Arial" w:hAnsi="Arial" w:cs="Arial"/>
          <w:sz w:val="24"/>
          <w:szCs w:val="24"/>
        </w:rPr>
        <w:t>, no fue visto más que como un elemento</w:t>
      </w:r>
      <w:r w:rsidR="00DD099C" w:rsidRPr="00683375">
        <w:rPr>
          <w:rFonts w:ascii="Arial" w:hAnsi="Arial" w:cs="Arial"/>
          <w:sz w:val="24"/>
          <w:szCs w:val="24"/>
        </w:rPr>
        <w:t xml:space="preserve"> </w:t>
      </w:r>
      <w:r w:rsidR="0070494A" w:rsidRPr="00683375">
        <w:rPr>
          <w:rFonts w:ascii="Arial" w:hAnsi="Arial" w:cs="Arial"/>
          <w:sz w:val="24"/>
          <w:szCs w:val="24"/>
        </w:rPr>
        <w:t>folclórico</w:t>
      </w:r>
      <w:r w:rsidR="00DD099C" w:rsidRPr="00683375">
        <w:rPr>
          <w:rFonts w:ascii="Arial" w:hAnsi="Arial" w:cs="Arial"/>
          <w:sz w:val="24"/>
          <w:szCs w:val="24"/>
        </w:rPr>
        <w:t xml:space="preserve"> y mercantilizable</w:t>
      </w:r>
      <w:r w:rsidR="0070494A" w:rsidRPr="00683375">
        <w:rPr>
          <w:rFonts w:ascii="Arial" w:hAnsi="Arial" w:cs="Arial"/>
          <w:sz w:val="24"/>
          <w:szCs w:val="24"/>
        </w:rPr>
        <w:t xml:space="preserve">, complementario </w:t>
      </w:r>
      <w:r w:rsidRPr="00683375">
        <w:rPr>
          <w:rFonts w:ascii="Arial" w:hAnsi="Arial" w:cs="Arial"/>
          <w:sz w:val="24"/>
          <w:szCs w:val="24"/>
        </w:rPr>
        <w:t>dentro del mito del mestizaje</w:t>
      </w:r>
      <w:r w:rsidR="0070494A" w:rsidRPr="00683375">
        <w:rPr>
          <w:rFonts w:ascii="Arial" w:hAnsi="Arial" w:cs="Arial"/>
          <w:sz w:val="24"/>
          <w:szCs w:val="24"/>
        </w:rPr>
        <w:t xml:space="preserve">. Así pues, </w:t>
      </w:r>
      <w:r w:rsidRPr="00683375">
        <w:rPr>
          <w:rFonts w:ascii="Arial" w:hAnsi="Arial" w:cs="Arial"/>
          <w:sz w:val="24"/>
          <w:szCs w:val="24"/>
        </w:rPr>
        <w:t>las personas mayas y racializadas</w:t>
      </w:r>
      <w:r w:rsidR="0070494A" w:rsidRPr="00683375">
        <w:rPr>
          <w:rFonts w:ascii="Arial" w:hAnsi="Arial" w:cs="Arial"/>
          <w:sz w:val="24"/>
          <w:szCs w:val="24"/>
        </w:rPr>
        <w:t xml:space="preserve"> </w:t>
      </w:r>
      <w:r w:rsidRPr="00683375">
        <w:rPr>
          <w:rFonts w:ascii="Arial" w:hAnsi="Arial" w:cs="Arial"/>
          <w:sz w:val="24"/>
          <w:szCs w:val="24"/>
        </w:rPr>
        <w:t xml:space="preserve">se encuentran </w:t>
      </w:r>
      <w:r w:rsidR="0070494A" w:rsidRPr="00683375">
        <w:rPr>
          <w:rFonts w:ascii="Arial" w:hAnsi="Arial" w:cs="Arial"/>
          <w:sz w:val="24"/>
          <w:szCs w:val="24"/>
        </w:rPr>
        <w:t>resistiendo y sobreviviendo en entornos hostiles</w:t>
      </w:r>
      <w:r w:rsidR="00FF1269" w:rsidRPr="00683375">
        <w:rPr>
          <w:rFonts w:ascii="Arial" w:hAnsi="Arial" w:cs="Arial"/>
          <w:sz w:val="24"/>
          <w:szCs w:val="24"/>
        </w:rPr>
        <w:t>. E</w:t>
      </w:r>
      <w:r w:rsidR="0070494A" w:rsidRPr="00683375">
        <w:rPr>
          <w:rFonts w:ascii="Arial" w:hAnsi="Arial" w:cs="Arial"/>
          <w:sz w:val="24"/>
          <w:szCs w:val="24"/>
        </w:rPr>
        <w:t>l Estado tiene el compromiso y la responsabilidad ética y moral de procurar justicia</w:t>
      </w:r>
      <w:r w:rsidR="00F47E31" w:rsidRPr="00683375">
        <w:rPr>
          <w:rFonts w:ascii="Arial" w:hAnsi="Arial" w:cs="Arial"/>
          <w:sz w:val="24"/>
          <w:szCs w:val="24"/>
        </w:rPr>
        <w:t xml:space="preserve"> y</w:t>
      </w:r>
      <w:r w:rsidR="0070494A" w:rsidRPr="00683375">
        <w:rPr>
          <w:rFonts w:ascii="Arial" w:hAnsi="Arial" w:cs="Arial"/>
          <w:sz w:val="24"/>
          <w:szCs w:val="24"/>
        </w:rPr>
        <w:t xml:space="preserve"> bienestar</w:t>
      </w:r>
      <w:r w:rsidR="00F47E31" w:rsidRPr="00683375">
        <w:rPr>
          <w:rFonts w:ascii="Arial" w:hAnsi="Arial" w:cs="Arial"/>
          <w:sz w:val="24"/>
          <w:szCs w:val="24"/>
        </w:rPr>
        <w:t xml:space="preserve"> social</w:t>
      </w:r>
      <w:r w:rsidR="0070494A" w:rsidRPr="00683375">
        <w:rPr>
          <w:rFonts w:ascii="Arial" w:hAnsi="Arial" w:cs="Arial"/>
          <w:sz w:val="24"/>
          <w:szCs w:val="24"/>
        </w:rPr>
        <w:t xml:space="preserve">, además de hacerlos participes y conocedores de cualquier proceso administrativo, legislativo o de gobierno. </w:t>
      </w:r>
    </w:p>
    <w:p w:rsidR="004D5E2B" w:rsidRPr="00683375" w:rsidRDefault="00004541" w:rsidP="00C91B54">
      <w:pPr>
        <w:spacing w:line="360" w:lineRule="auto"/>
        <w:jc w:val="both"/>
        <w:rPr>
          <w:rFonts w:ascii="Arial" w:hAnsi="Arial" w:cs="Arial"/>
          <w:sz w:val="24"/>
          <w:szCs w:val="24"/>
        </w:rPr>
      </w:pPr>
      <w:r w:rsidRPr="00683375">
        <w:rPr>
          <w:rFonts w:ascii="Arial" w:hAnsi="Arial" w:cs="Arial"/>
          <w:sz w:val="24"/>
          <w:szCs w:val="24"/>
        </w:rPr>
        <w:t>Las personas LGBTI+</w:t>
      </w:r>
      <w:r w:rsidR="0070494A" w:rsidRPr="00683375">
        <w:rPr>
          <w:rFonts w:ascii="Arial" w:hAnsi="Arial" w:cs="Arial"/>
          <w:sz w:val="24"/>
          <w:szCs w:val="24"/>
        </w:rPr>
        <w:t xml:space="preserve"> del país y de nuestro estado, un cumulo de afortunadas y positivas diferencias que ponen en claro el carácter multifacético del cuerpo social, de los </w:t>
      </w:r>
      <w:r w:rsidRPr="00683375">
        <w:rPr>
          <w:rFonts w:ascii="Arial" w:hAnsi="Arial" w:cs="Arial"/>
          <w:sz w:val="24"/>
          <w:szCs w:val="24"/>
        </w:rPr>
        <w:t>sujetos</w:t>
      </w:r>
      <w:r w:rsidR="0070494A" w:rsidRPr="00683375">
        <w:rPr>
          <w:rFonts w:ascii="Arial" w:hAnsi="Arial" w:cs="Arial"/>
          <w:sz w:val="24"/>
          <w:szCs w:val="24"/>
        </w:rPr>
        <w:t xml:space="preserve"> que l</w:t>
      </w:r>
      <w:r w:rsidR="00BE7DBF" w:rsidRPr="00683375">
        <w:rPr>
          <w:rFonts w:ascii="Arial" w:hAnsi="Arial" w:cs="Arial"/>
          <w:sz w:val="24"/>
          <w:szCs w:val="24"/>
        </w:rPr>
        <w:t>o</w:t>
      </w:r>
      <w:r w:rsidR="0070494A" w:rsidRPr="00683375">
        <w:rPr>
          <w:rFonts w:ascii="Arial" w:hAnsi="Arial" w:cs="Arial"/>
          <w:sz w:val="24"/>
          <w:szCs w:val="24"/>
        </w:rPr>
        <w:t xml:space="preserve"> componen y </w:t>
      </w:r>
      <w:r w:rsidR="00F47E31" w:rsidRPr="00683375">
        <w:rPr>
          <w:rFonts w:ascii="Arial" w:hAnsi="Arial" w:cs="Arial"/>
          <w:sz w:val="24"/>
          <w:szCs w:val="24"/>
        </w:rPr>
        <w:t xml:space="preserve">es </w:t>
      </w:r>
      <w:r w:rsidR="0070494A" w:rsidRPr="00683375">
        <w:rPr>
          <w:rFonts w:ascii="Arial" w:hAnsi="Arial" w:cs="Arial"/>
          <w:sz w:val="24"/>
          <w:szCs w:val="24"/>
        </w:rPr>
        <w:t>una parte importante</w:t>
      </w:r>
      <w:r w:rsidR="00BE7DBF" w:rsidRPr="00683375">
        <w:rPr>
          <w:rFonts w:ascii="Arial" w:hAnsi="Arial" w:cs="Arial"/>
          <w:sz w:val="24"/>
          <w:szCs w:val="24"/>
        </w:rPr>
        <w:t xml:space="preserve">, sin la cual, no sería </w:t>
      </w:r>
      <w:r w:rsidR="00FF1269" w:rsidRPr="00683375">
        <w:rPr>
          <w:rFonts w:ascii="Arial" w:hAnsi="Arial" w:cs="Arial"/>
          <w:sz w:val="24"/>
          <w:szCs w:val="24"/>
        </w:rPr>
        <w:t xml:space="preserve">posible </w:t>
      </w:r>
      <w:r w:rsidR="0070494A" w:rsidRPr="00683375">
        <w:rPr>
          <w:rFonts w:ascii="Arial" w:hAnsi="Arial" w:cs="Arial"/>
          <w:sz w:val="24"/>
          <w:szCs w:val="24"/>
        </w:rPr>
        <w:t xml:space="preserve">entender </w:t>
      </w:r>
      <w:r w:rsidR="00BE7DBF" w:rsidRPr="00683375">
        <w:rPr>
          <w:rFonts w:ascii="Arial" w:hAnsi="Arial" w:cs="Arial"/>
          <w:sz w:val="24"/>
          <w:szCs w:val="24"/>
        </w:rPr>
        <w:t xml:space="preserve">el </w:t>
      </w:r>
      <w:r w:rsidR="008112C4" w:rsidRPr="00683375">
        <w:rPr>
          <w:rFonts w:ascii="Arial" w:hAnsi="Arial" w:cs="Arial"/>
          <w:sz w:val="24"/>
          <w:szCs w:val="24"/>
        </w:rPr>
        <w:t>factor</w:t>
      </w:r>
      <w:r w:rsidR="00BE7DBF" w:rsidRPr="00683375">
        <w:rPr>
          <w:rFonts w:ascii="Arial" w:hAnsi="Arial" w:cs="Arial"/>
          <w:sz w:val="24"/>
          <w:szCs w:val="24"/>
        </w:rPr>
        <w:t xml:space="preserve"> </w:t>
      </w:r>
      <w:r w:rsidR="0070494A" w:rsidRPr="00683375">
        <w:rPr>
          <w:rFonts w:ascii="Arial" w:hAnsi="Arial" w:cs="Arial"/>
          <w:sz w:val="24"/>
          <w:szCs w:val="24"/>
        </w:rPr>
        <w:t xml:space="preserve">plural, </w:t>
      </w:r>
      <w:r w:rsidR="00BE7DBF" w:rsidRPr="00683375">
        <w:rPr>
          <w:rFonts w:ascii="Arial" w:hAnsi="Arial" w:cs="Arial"/>
          <w:sz w:val="24"/>
          <w:szCs w:val="24"/>
        </w:rPr>
        <w:t>diverso</w:t>
      </w:r>
      <w:r w:rsidR="0070494A" w:rsidRPr="00683375">
        <w:rPr>
          <w:rFonts w:ascii="Arial" w:hAnsi="Arial" w:cs="Arial"/>
          <w:sz w:val="24"/>
          <w:szCs w:val="24"/>
        </w:rPr>
        <w:t xml:space="preserve"> y multicultural con la que los tiempos modernos han configurado a la sociedad actual. En contraste con otras </w:t>
      </w:r>
      <w:r w:rsidR="004D5E2B" w:rsidRPr="00683375">
        <w:rPr>
          <w:rFonts w:ascii="Arial" w:hAnsi="Arial" w:cs="Arial"/>
          <w:sz w:val="24"/>
          <w:szCs w:val="24"/>
        </w:rPr>
        <w:t>expresiones políticas institucionales, nuestro partido, nuestro movimiento y yo</w:t>
      </w:r>
      <w:r w:rsidR="00BE7DBF" w:rsidRPr="00683375">
        <w:rPr>
          <w:rFonts w:ascii="Arial" w:hAnsi="Arial" w:cs="Arial"/>
          <w:sz w:val="24"/>
          <w:szCs w:val="24"/>
        </w:rPr>
        <w:t>,</w:t>
      </w:r>
      <w:r w:rsidR="004D5E2B" w:rsidRPr="00683375">
        <w:rPr>
          <w:rFonts w:ascii="Arial" w:hAnsi="Arial" w:cs="Arial"/>
          <w:sz w:val="24"/>
          <w:szCs w:val="24"/>
        </w:rPr>
        <w:t xml:space="preserve"> como militante activa</w:t>
      </w:r>
      <w:r w:rsidR="00BE7DBF" w:rsidRPr="00683375">
        <w:rPr>
          <w:rFonts w:ascii="Arial" w:hAnsi="Arial" w:cs="Arial"/>
          <w:sz w:val="24"/>
          <w:szCs w:val="24"/>
        </w:rPr>
        <w:t xml:space="preserve"> del mismo</w:t>
      </w:r>
      <w:r w:rsidR="004D5E2B" w:rsidRPr="00683375">
        <w:rPr>
          <w:rFonts w:ascii="Arial" w:hAnsi="Arial" w:cs="Arial"/>
          <w:sz w:val="24"/>
          <w:szCs w:val="24"/>
        </w:rPr>
        <w:t xml:space="preserve">, </w:t>
      </w:r>
      <w:r w:rsidR="004D5E2B" w:rsidRPr="00683375">
        <w:rPr>
          <w:rFonts w:ascii="Arial" w:hAnsi="Arial" w:cs="Arial"/>
          <w:b/>
          <w:bCs/>
          <w:sz w:val="24"/>
          <w:szCs w:val="24"/>
        </w:rPr>
        <w:t xml:space="preserve">rechazamos todo tipo de conservadurismo </w:t>
      </w:r>
      <w:r w:rsidRPr="00683375">
        <w:rPr>
          <w:rFonts w:ascii="Arial" w:hAnsi="Arial" w:cs="Arial"/>
          <w:b/>
          <w:bCs/>
          <w:sz w:val="24"/>
          <w:szCs w:val="24"/>
        </w:rPr>
        <w:t xml:space="preserve">y acciones antiderechos </w:t>
      </w:r>
      <w:r w:rsidR="004D5E2B" w:rsidRPr="00683375">
        <w:rPr>
          <w:rFonts w:ascii="Arial" w:hAnsi="Arial" w:cs="Arial"/>
          <w:b/>
          <w:bCs/>
          <w:sz w:val="24"/>
          <w:szCs w:val="24"/>
        </w:rPr>
        <w:t>que señale, estigmatice, discrimine y violente cualquier expresión social humana</w:t>
      </w:r>
      <w:r w:rsidR="00BE7DBF" w:rsidRPr="00683375">
        <w:rPr>
          <w:rFonts w:ascii="Arial" w:hAnsi="Arial" w:cs="Arial"/>
          <w:sz w:val="24"/>
          <w:szCs w:val="24"/>
        </w:rPr>
        <w:t>, siempre</w:t>
      </w:r>
      <w:r w:rsidR="004D5E2B" w:rsidRPr="00683375">
        <w:rPr>
          <w:rFonts w:ascii="Arial" w:hAnsi="Arial" w:cs="Arial"/>
          <w:sz w:val="24"/>
          <w:szCs w:val="24"/>
        </w:rPr>
        <w:t xml:space="preserve"> que</w:t>
      </w:r>
      <w:r w:rsidR="00BE7DBF" w:rsidRPr="00683375">
        <w:rPr>
          <w:rFonts w:ascii="Arial" w:hAnsi="Arial" w:cs="Arial"/>
          <w:sz w:val="24"/>
          <w:szCs w:val="24"/>
        </w:rPr>
        <w:t xml:space="preserve"> </w:t>
      </w:r>
      <w:r w:rsidR="008112C4" w:rsidRPr="00683375">
        <w:rPr>
          <w:rFonts w:ascii="Arial" w:hAnsi="Arial" w:cs="Arial"/>
          <w:sz w:val="24"/>
          <w:szCs w:val="24"/>
        </w:rPr>
        <w:t>esta se encuentre</w:t>
      </w:r>
      <w:r w:rsidR="004D5E2B" w:rsidRPr="00683375">
        <w:rPr>
          <w:rFonts w:ascii="Arial" w:hAnsi="Arial" w:cs="Arial"/>
          <w:sz w:val="24"/>
          <w:szCs w:val="24"/>
        </w:rPr>
        <w:t xml:space="preserve"> dentro de los límites de la razón y el respeto mutuo, máxime si tiene como terminación la búsqueda de la felicidad, fin último de la acción política.</w:t>
      </w:r>
    </w:p>
    <w:p w:rsidR="004D5E2B" w:rsidRPr="00683375" w:rsidRDefault="004D5E2B" w:rsidP="00C91B54">
      <w:pPr>
        <w:spacing w:line="360" w:lineRule="auto"/>
        <w:jc w:val="both"/>
        <w:rPr>
          <w:rFonts w:ascii="Arial" w:hAnsi="Arial" w:cs="Arial"/>
          <w:sz w:val="24"/>
          <w:szCs w:val="24"/>
        </w:rPr>
      </w:pPr>
      <w:r w:rsidRPr="00683375">
        <w:rPr>
          <w:rFonts w:ascii="Arial" w:hAnsi="Arial" w:cs="Arial"/>
          <w:sz w:val="24"/>
          <w:szCs w:val="24"/>
        </w:rPr>
        <w:t>Hemos de generar mecanismos que cuiden, no solo los derechos, sino la vida de los sectores más vulnerables de nuestra sociedad; aquellos que han sido objeto de violencia sistémica y reiterada, son el centro de nuestros esfuerzos pues, en tanto víctimas de l</w:t>
      </w:r>
      <w:r w:rsidR="00004541" w:rsidRPr="00683375">
        <w:rPr>
          <w:rFonts w:ascii="Arial" w:hAnsi="Arial" w:cs="Arial"/>
          <w:sz w:val="24"/>
          <w:szCs w:val="24"/>
        </w:rPr>
        <w:t xml:space="preserve">as desigualdades </w:t>
      </w:r>
      <w:r w:rsidRPr="00683375">
        <w:rPr>
          <w:rFonts w:ascii="Arial" w:hAnsi="Arial" w:cs="Arial"/>
          <w:sz w:val="24"/>
          <w:szCs w:val="24"/>
        </w:rPr>
        <w:t>que han aquejado a nuestr</w:t>
      </w:r>
      <w:r w:rsidR="00F47E31" w:rsidRPr="00683375">
        <w:rPr>
          <w:rFonts w:ascii="Arial" w:hAnsi="Arial" w:cs="Arial"/>
          <w:sz w:val="24"/>
          <w:szCs w:val="24"/>
        </w:rPr>
        <w:t>o</w:t>
      </w:r>
      <w:r w:rsidRPr="00683375">
        <w:rPr>
          <w:rFonts w:ascii="Arial" w:hAnsi="Arial" w:cs="Arial"/>
          <w:sz w:val="24"/>
          <w:szCs w:val="24"/>
        </w:rPr>
        <w:t xml:space="preserve"> </w:t>
      </w:r>
      <w:r w:rsidR="00BE7DBF" w:rsidRPr="00683375">
        <w:rPr>
          <w:rFonts w:ascii="Arial" w:hAnsi="Arial" w:cs="Arial"/>
          <w:sz w:val="24"/>
          <w:szCs w:val="24"/>
        </w:rPr>
        <w:t>tejido social</w:t>
      </w:r>
      <w:r w:rsidRPr="00683375">
        <w:rPr>
          <w:rFonts w:ascii="Arial" w:hAnsi="Arial" w:cs="Arial"/>
          <w:sz w:val="24"/>
          <w:szCs w:val="24"/>
        </w:rPr>
        <w:t>, han enseñado al grueso de la sociedad que es mediante la organización, el dialogo</w:t>
      </w:r>
      <w:r w:rsidR="00C41DAD" w:rsidRPr="00683375">
        <w:rPr>
          <w:rFonts w:ascii="Arial" w:hAnsi="Arial" w:cs="Arial"/>
          <w:sz w:val="24"/>
          <w:szCs w:val="24"/>
        </w:rPr>
        <w:t>, los cuidados</w:t>
      </w:r>
      <w:r w:rsidRPr="00683375">
        <w:rPr>
          <w:rFonts w:ascii="Arial" w:hAnsi="Arial" w:cs="Arial"/>
          <w:sz w:val="24"/>
          <w:szCs w:val="24"/>
        </w:rPr>
        <w:t>, el apoyo mutuo</w:t>
      </w:r>
      <w:r w:rsidR="00C41DAD" w:rsidRPr="00683375">
        <w:rPr>
          <w:rFonts w:ascii="Arial" w:hAnsi="Arial" w:cs="Arial"/>
          <w:sz w:val="24"/>
          <w:szCs w:val="24"/>
        </w:rPr>
        <w:t>, pero sobre todo mediante el amor, que esperanzas hay muchas, y que nuestro país y nuestra sociedad</w:t>
      </w:r>
      <w:r w:rsidR="00BE7DBF" w:rsidRPr="00683375">
        <w:rPr>
          <w:rFonts w:ascii="Arial" w:hAnsi="Arial" w:cs="Arial"/>
          <w:sz w:val="24"/>
          <w:szCs w:val="24"/>
        </w:rPr>
        <w:t>,</w:t>
      </w:r>
      <w:r w:rsidR="00C41DAD" w:rsidRPr="00683375">
        <w:rPr>
          <w:rFonts w:ascii="Arial" w:hAnsi="Arial" w:cs="Arial"/>
          <w:sz w:val="24"/>
          <w:szCs w:val="24"/>
        </w:rPr>
        <w:t xml:space="preserve"> hoy</w:t>
      </w:r>
      <w:r w:rsidR="00BE7DBF" w:rsidRPr="00683375">
        <w:rPr>
          <w:rFonts w:ascii="Arial" w:hAnsi="Arial" w:cs="Arial"/>
          <w:sz w:val="24"/>
          <w:szCs w:val="24"/>
        </w:rPr>
        <w:t>,</w:t>
      </w:r>
      <w:r w:rsidR="00C41DAD" w:rsidRPr="00683375">
        <w:rPr>
          <w:rFonts w:ascii="Arial" w:hAnsi="Arial" w:cs="Arial"/>
          <w:sz w:val="24"/>
          <w:szCs w:val="24"/>
        </w:rPr>
        <w:t xml:space="preserve"> atraviesa tiempos de cambios profundos y que </w:t>
      </w:r>
      <w:r w:rsidR="00C41DAD" w:rsidRPr="00683375">
        <w:rPr>
          <w:rFonts w:ascii="Arial" w:hAnsi="Arial" w:cs="Arial"/>
          <w:b/>
          <w:bCs/>
          <w:sz w:val="24"/>
          <w:szCs w:val="24"/>
        </w:rPr>
        <w:t>no daremos un paso a tras ante los embates conservadores</w:t>
      </w:r>
      <w:r w:rsidR="00004541" w:rsidRPr="00683375">
        <w:rPr>
          <w:rFonts w:ascii="Arial" w:hAnsi="Arial" w:cs="Arial"/>
          <w:b/>
          <w:bCs/>
          <w:sz w:val="24"/>
          <w:szCs w:val="24"/>
        </w:rPr>
        <w:t xml:space="preserve"> antiderechos</w:t>
      </w:r>
      <w:r w:rsidR="00C41DAD" w:rsidRPr="00683375">
        <w:rPr>
          <w:rFonts w:ascii="Arial" w:hAnsi="Arial" w:cs="Arial"/>
          <w:b/>
          <w:bCs/>
          <w:sz w:val="24"/>
          <w:szCs w:val="24"/>
        </w:rPr>
        <w:t xml:space="preserve"> que han fracasado en su intento por deshumanizar, invisibilizar y colocar en el ostracismo de la historia a los sectores sociales, cuerpos e ideas que no encajan dentro del marco </w:t>
      </w:r>
      <w:r w:rsidR="00F47E31" w:rsidRPr="00683375">
        <w:rPr>
          <w:rFonts w:ascii="Arial" w:hAnsi="Arial" w:cs="Arial"/>
          <w:b/>
          <w:bCs/>
          <w:sz w:val="24"/>
          <w:szCs w:val="24"/>
        </w:rPr>
        <w:t xml:space="preserve">de lo </w:t>
      </w:r>
      <w:r w:rsidR="00C41DAD" w:rsidRPr="00683375">
        <w:rPr>
          <w:rFonts w:ascii="Arial" w:hAnsi="Arial" w:cs="Arial"/>
          <w:b/>
          <w:bCs/>
          <w:sz w:val="24"/>
          <w:szCs w:val="24"/>
        </w:rPr>
        <w:t>hegemónico</w:t>
      </w:r>
      <w:r w:rsidR="00C41DAD" w:rsidRPr="00683375">
        <w:rPr>
          <w:rFonts w:ascii="Arial" w:hAnsi="Arial" w:cs="Arial"/>
          <w:sz w:val="24"/>
          <w:szCs w:val="24"/>
        </w:rPr>
        <w:t>.</w:t>
      </w:r>
    </w:p>
    <w:p w:rsidR="00024543" w:rsidRPr="00683375" w:rsidRDefault="00C41DAD" w:rsidP="00C91B54">
      <w:pPr>
        <w:spacing w:line="360" w:lineRule="auto"/>
        <w:jc w:val="both"/>
        <w:rPr>
          <w:rFonts w:ascii="Arial" w:hAnsi="Arial" w:cs="Arial"/>
          <w:sz w:val="24"/>
          <w:szCs w:val="24"/>
        </w:rPr>
      </w:pPr>
      <w:r w:rsidRPr="00683375">
        <w:rPr>
          <w:rFonts w:ascii="Arial" w:hAnsi="Arial" w:cs="Arial"/>
          <w:sz w:val="24"/>
          <w:szCs w:val="24"/>
        </w:rPr>
        <w:t>Los cuerpos feminizados son motivo de agresión desde la época colonial</w:t>
      </w:r>
      <w:r w:rsidR="006A46D2" w:rsidRPr="00683375">
        <w:rPr>
          <w:rFonts w:ascii="Arial" w:hAnsi="Arial" w:cs="Arial"/>
          <w:sz w:val="24"/>
          <w:szCs w:val="24"/>
        </w:rPr>
        <w:t>; los criterios de dominación con los que, en el contexto de la cristiandad europea medieval, las mujeres de aquella época conducían la lógica de su vida, fueron trasladados y aplicados en las poblaciones del, mal llamado, “Nuevo Mundo”. Aptas para la obediencia, incompetentes para el mando, irracionales, de naturaleza subordinada, tutelables, etc, son algunos dispositivos coloniales de dominación</w:t>
      </w:r>
      <w:r w:rsidR="00384578" w:rsidRPr="00683375">
        <w:rPr>
          <w:rFonts w:ascii="Arial" w:hAnsi="Arial" w:cs="Arial"/>
          <w:sz w:val="24"/>
          <w:szCs w:val="24"/>
        </w:rPr>
        <w:t>, originados a partir de la feminización de lo “indio” y la racialización de las poblaciones colonizadas, los</w:t>
      </w:r>
      <w:r w:rsidR="006A46D2" w:rsidRPr="00683375">
        <w:rPr>
          <w:rFonts w:ascii="Arial" w:hAnsi="Arial" w:cs="Arial"/>
          <w:sz w:val="24"/>
          <w:szCs w:val="24"/>
        </w:rPr>
        <w:t xml:space="preserve"> que tuvieron lugar para</w:t>
      </w:r>
      <w:r w:rsidR="00024543" w:rsidRPr="00683375">
        <w:rPr>
          <w:rFonts w:ascii="Arial" w:hAnsi="Arial" w:cs="Arial"/>
          <w:sz w:val="24"/>
          <w:szCs w:val="24"/>
        </w:rPr>
        <w:t xml:space="preserve"> negar</w:t>
      </w:r>
      <w:r w:rsidR="00384578" w:rsidRPr="00683375">
        <w:rPr>
          <w:rFonts w:ascii="Arial" w:hAnsi="Arial" w:cs="Arial"/>
          <w:sz w:val="24"/>
          <w:szCs w:val="24"/>
        </w:rPr>
        <w:t xml:space="preserve">le la humanidad a miles de habitantes nativos “descubiertos”,  </w:t>
      </w:r>
      <w:r w:rsidR="00024543" w:rsidRPr="00683375">
        <w:rPr>
          <w:rFonts w:ascii="Arial" w:hAnsi="Arial" w:cs="Arial"/>
          <w:sz w:val="24"/>
          <w:szCs w:val="24"/>
        </w:rPr>
        <w:t xml:space="preserve">hace </w:t>
      </w:r>
      <w:r w:rsidR="008112C4" w:rsidRPr="00683375">
        <w:rPr>
          <w:rFonts w:ascii="Arial" w:hAnsi="Arial" w:cs="Arial"/>
          <w:sz w:val="24"/>
          <w:szCs w:val="24"/>
        </w:rPr>
        <w:t xml:space="preserve">ya </w:t>
      </w:r>
      <w:r w:rsidR="00024543" w:rsidRPr="00683375">
        <w:rPr>
          <w:rFonts w:ascii="Arial" w:hAnsi="Arial" w:cs="Arial"/>
          <w:sz w:val="24"/>
          <w:szCs w:val="24"/>
        </w:rPr>
        <w:t>m</w:t>
      </w:r>
      <w:r w:rsidR="008112C4" w:rsidRPr="00683375">
        <w:rPr>
          <w:rFonts w:ascii="Arial" w:hAnsi="Arial" w:cs="Arial"/>
          <w:sz w:val="24"/>
          <w:szCs w:val="24"/>
        </w:rPr>
        <w:t>á</w:t>
      </w:r>
      <w:r w:rsidR="00024543" w:rsidRPr="00683375">
        <w:rPr>
          <w:rFonts w:ascii="Arial" w:hAnsi="Arial" w:cs="Arial"/>
          <w:sz w:val="24"/>
          <w:szCs w:val="24"/>
        </w:rPr>
        <w:t>s de 500 años y que se han perpetuado hasta hoy día, ampliando su margen de acción para controlar resistencias y disidencias que surgen con el flujo histórico de los acontecimientos y que, tiene por condición necesaria para su existencia, el que se implanten y ejerzan sobre aquello que</w:t>
      </w:r>
      <w:r w:rsidR="00BE7DBF" w:rsidRPr="00683375">
        <w:rPr>
          <w:rFonts w:ascii="Arial" w:hAnsi="Arial" w:cs="Arial"/>
          <w:sz w:val="24"/>
          <w:szCs w:val="24"/>
        </w:rPr>
        <w:t xml:space="preserve"> se</w:t>
      </w:r>
      <w:r w:rsidR="00024543" w:rsidRPr="00683375">
        <w:rPr>
          <w:rFonts w:ascii="Arial" w:hAnsi="Arial" w:cs="Arial"/>
          <w:sz w:val="24"/>
          <w:szCs w:val="24"/>
        </w:rPr>
        <w:t xml:space="preserve"> exprese </w:t>
      </w:r>
      <w:r w:rsidR="00BE7DBF" w:rsidRPr="00683375">
        <w:rPr>
          <w:rFonts w:ascii="Arial" w:hAnsi="Arial" w:cs="Arial"/>
          <w:sz w:val="24"/>
          <w:szCs w:val="24"/>
        </w:rPr>
        <w:t xml:space="preserve">acorde </w:t>
      </w:r>
      <w:r w:rsidR="008112C4" w:rsidRPr="00683375">
        <w:rPr>
          <w:rFonts w:ascii="Arial" w:hAnsi="Arial" w:cs="Arial"/>
          <w:sz w:val="24"/>
          <w:szCs w:val="24"/>
        </w:rPr>
        <w:t>al espectro de</w:t>
      </w:r>
      <w:r w:rsidR="00BE7DBF" w:rsidRPr="00683375">
        <w:rPr>
          <w:rFonts w:ascii="Arial" w:hAnsi="Arial" w:cs="Arial"/>
          <w:sz w:val="24"/>
          <w:szCs w:val="24"/>
        </w:rPr>
        <w:t xml:space="preserve"> lo </w:t>
      </w:r>
      <w:r w:rsidR="00024543" w:rsidRPr="00683375">
        <w:rPr>
          <w:rFonts w:ascii="Arial" w:hAnsi="Arial" w:cs="Arial"/>
          <w:sz w:val="24"/>
          <w:szCs w:val="24"/>
        </w:rPr>
        <w:t>femenino</w:t>
      </w:r>
      <w:r w:rsidR="00384578" w:rsidRPr="00683375">
        <w:rPr>
          <w:rFonts w:ascii="Arial" w:hAnsi="Arial" w:cs="Arial"/>
          <w:sz w:val="24"/>
          <w:szCs w:val="24"/>
        </w:rPr>
        <w:t xml:space="preserve">. </w:t>
      </w:r>
    </w:p>
    <w:p w:rsidR="00C41DAD" w:rsidRPr="00683375" w:rsidRDefault="00C41DAD" w:rsidP="00C91B54">
      <w:pPr>
        <w:spacing w:line="360" w:lineRule="auto"/>
        <w:jc w:val="both"/>
        <w:rPr>
          <w:rFonts w:ascii="Arial" w:hAnsi="Arial" w:cs="Arial"/>
          <w:sz w:val="24"/>
          <w:szCs w:val="24"/>
        </w:rPr>
      </w:pPr>
      <w:r w:rsidRPr="00683375">
        <w:rPr>
          <w:rFonts w:ascii="Arial" w:hAnsi="Arial" w:cs="Arial"/>
          <w:b/>
          <w:bCs/>
          <w:sz w:val="24"/>
          <w:szCs w:val="24"/>
        </w:rPr>
        <w:t>La violencia se ha feminizado</w:t>
      </w:r>
      <w:r w:rsidR="003358BA" w:rsidRPr="00683375">
        <w:rPr>
          <w:rFonts w:ascii="Arial" w:hAnsi="Arial" w:cs="Arial"/>
          <w:b/>
          <w:bCs/>
          <w:sz w:val="24"/>
          <w:szCs w:val="24"/>
        </w:rPr>
        <w:t>,</w:t>
      </w:r>
      <w:r w:rsidRPr="00683375">
        <w:rPr>
          <w:rFonts w:ascii="Arial" w:hAnsi="Arial" w:cs="Arial"/>
          <w:b/>
          <w:bCs/>
          <w:sz w:val="24"/>
          <w:szCs w:val="24"/>
        </w:rPr>
        <w:t xml:space="preserve"> ha servido como método de la dominación</w:t>
      </w:r>
      <w:r w:rsidR="00F92979" w:rsidRPr="00683375">
        <w:rPr>
          <w:rFonts w:ascii="Arial" w:hAnsi="Arial" w:cs="Arial"/>
          <w:b/>
          <w:bCs/>
          <w:sz w:val="24"/>
          <w:szCs w:val="24"/>
        </w:rPr>
        <w:t xml:space="preserve"> dentro del sistema patriarcal que ha elegido todo aquello que se expresa en femenino para ejercer y desplegar sus dispositivos de poder</w:t>
      </w:r>
      <w:r w:rsidR="00F92979" w:rsidRPr="00683375">
        <w:rPr>
          <w:rFonts w:ascii="Arial" w:hAnsi="Arial" w:cs="Arial"/>
          <w:sz w:val="24"/>
          <w:szCs w:val="24"/>
        </w:rPr>
        <w:t xml:space="preserve">, que van desde los </w:t>
      </w:r>
      <w:r w:rsidR="00163BA9" w:rsidRPr="00683375">
        <w:rPr>
          <w:rFonts w:ascii="Arial" w:hAnsi="Arial" w:cs="Arial"/>
          <w:sz w:val="24"/>
          <w:szCs w:val="24"/>
        </w:rPr>
        <w:t>más</w:t>
      </w:r>
      <w:r w:rsidR="00F92979" w:rsidRPr="00683375">
        <w:rPr>
          <w:rFonts w:ascii="Arial" w:hAnsi="Arial" w:cs="Arial"/>
          <w:sz w:val="24"/>
          <w:szCs w:val="24"/>
        </w:rPr>
        <w:t xml:space="preserve"> </w:t>
      </w:r>
      <w:r w:rsidR="00163BA9" w:rsidRPr="00683375">
        <w:rPr>
          <w:rFonts w:ascii="Arial" w:hAnsi="Arial" w:cs="Arial"/>
          <w:sz w:val="24"/>
          <w:szCs w:val="24"/>
        </w:rPr>
        <w:t>sutiles</w:t>
      </w:r>
      <w:r w:rsidR="00F92979" w:rsidRPr="00683375">
        <w:rPr>
          <w:rFonts w:ascii="Arial" w:hAnsi="Arial" w:cs="Arial"/>
          <w:sz w:val="24"/>
          <w:szCs w:val="24"/>
        </w:rPr>
        <w:t xml:space="preserve"> como aquellos que tienen que ver con uso del lenguaje, hasta aquellos que se cobran la vida</w:t>
      </w:r>
      <w:r w:rsidR="00BE7DBF" w:rsidRPr="00683375">
        <w:rPr>
          <w:rFonts w:ascii="Arial" w:hAnsi="Arial" w:cs="Arial"/>
          <w:sz w:val="24"/>
          <w:szCs w:val="24"/>
        </w:rPr>
        <w:t xml:space="preserve"> de cuerpos femeninos o feminizados</w:t>
      </w:r>
      <w:r w:rsidR="00F92979" w:rsidRPr="00683375">
        <w:rPr>
          <w:rFonts w:ascii="Arial" w:hAnsi="Arial" w:cs="Arial"/>
          <w:sz w:val="24"/>
          <w:szCs w:val="24"/>
        </w:rPr>
        <w:t xml:space="preserve"> dejando simbólicamente establecido que lo femenino está relacionado con todo aquello que </w:t>
      </w:r>
      <w:r w:rsidR="00BE7DBF" w:rsidRPr="00683375">
        <w:rPr>
          <w:rFonts w:ascii="Arial" w:hAnsi="Arial" w:cs="Arial"/>
          <w:sz w:val="24"/>
          <w:szCs w:val="24"/>
        </w:rPr>
        <w:t>la tradición cultural asigna a lo</w:t>
      </w:r>
      <w:r w:rsidR="00F92979" w:rsidRPr="00683375">
        <w:rPr>
          <w:rFonts w:ascii="Arial" w:hAnsi="Arial" w:cs="Arial"/>
          <w:sz w:val="24"/>
          <w:szCs w:val="24"/>
        </w:rPr>
        <w:t xml:space="preserve"> débil o inferior cuyo fin es anularse a </w:t>
      </w:r>
      <w:r w:rsidR="00854841" w:rsidRPr="00683375">
        <w:rPr>
          <w:rFonts w:ascii="Arial" w:hAnsi="Arial" w:cs="Arial"/>
          <w:sz w:val="24"/>
          <w:szCs w:val="24"/>
        </w:rPr>
        <w:t>sí</w:t>
      </w:r>
      <w:r w:rsidR="00F92979" w:rsidRPr="00683375">
        <w:rPr>
          <w:rFonts w:ascii="Arial" w:hAnsi="Arial" w:cs="Arial"/>
          <w:sz w:val="24"/>
          <w:szCs w:val="24"/>
        </w:rPr>
        <w:t xml:space="preserve"> mismo</w:t>
      </w:r>
      <w:r w:rsidR="008112C4" w:rsidRPr="00683375">
        <w:rPr>
          <w:rFonts w:ascii="Arial" w:hAnsi="Arial" w:cs="Arial"/>
          <w:sz w:val="24"/>
          <w:szCs w:val="24"/>
        </w:rPr>
        <w:t>,</w:t>
      </w:r>
      <w:r w:rsidR="00F92979" w:rsidRPr="00683375">
        <w:rPr>
          <w:rFonts w:ascii="Arial" w:hAnsi="Arial" w:cs="Arial"/>
          <w:sz w:val="24"/>
          <w:szCs w:val="24"/>
        </w:rPr>
        <w:t xml:space="preserve"> servir o desaparecer.</w:t>
      </w:r>
    </w:p>
    <w:p w:rsidR="005C394E" w:rsidRPr="00683375" w:rsidRDefault="00024543" w:rsidP="00C91B54">
      <w:pPr>
        <w:spacing w:line="360" w:lineRule="auto"/>
        <w:jc w:val="both"/>
        <w:rPr>
          <w:rFonts w:ascii="Arial" w:hAnsi="Arial" w:cs="Arial"/>
          <w:sz w:val="24"/>
          <w:szCs w:val="24"/>
        </w:rPr>
      </w:pPr>
      <w:r w:rsidRPr="00683375">
        <w:rPr>
          <w:rFonts w:ascii="Arial" w:hAnsi="Arial" w:cs="Arial"/>
          <w:sz w:val="24"/>
          <w:szCs w:val="24"/>
        </w:rPr>
        <w:t xml:space="preserve">En nuestro país, la violencia patriarcal cobra la vida de cientos de mujeres para perpetuar su dominio y se ejerce invariablemente, sobre todas y cada una de nosotras para normalizarse, aspirando a que la interioricemos y la hagamos parte de nuestra cotidianeidad. </w:t>
      </w:r>
      <w:r w:rsidR="005C394E" w:rsidRPr="00683375">
        <w:rPr>
          <w:rFonts w:ascii="Arial" w:hAnsi="Arial" w:cs="Arial"/>
          <w:b/>
          <w:bCs/>
          <w:sz w:val="24"/>
          <w:szCs w:val="24"/>
        </w:rPr>
        <w:t xml:space="preserve">Así como hemos dado pasos agigantados en el reconocimiento, prevención, combate y sanción de la violencia misógina que sufrimos las mujeres, hemos de hacer lo propio para reconocer que las mujeres transgénero resisten y también, desafortunadamente </w:t>
      </w:r>
      <w:r w:rsidR="001C26FA" w:rsidRPr="00683375">
        <w:rPr>
          <w:rFonts w:ascii="Arial" w:hAnsi="Arial" w:cs="Arial"/>
          <w:b/>
          <w:bCs/>
          <w:sz w:val="24"/>
          <w:szCs w:val="24"/>
        </w:rPr>
        <w:t>padecen</w:t>
      </w:r>
      <w:r w:rsidR="005C394E" w:rsidRPr="00683375">
        <w:rPr>
          <w:rFonts w:ascii="Arial" w:hAnsi="Arial" w:cs="Arial"/>
          <w:b/>
          <w:bCs/>
          <w:sz w:val="24"/>
          <w:szCs w:val="24"/>
        </w:rPr>
        <w:t xml:space="preserve">, ante la violencia </w:t>
      </w:r>
      <w:r w:rsidR="001C26FA" w:rsidRPr="00683375">
        <w:rPr>
          <w:rFonts w:ascii="Arial" w:hAnsi="Arial" w:cs="Arial"/>
          <w:b/>
          <w:bCs/>
          <w:sz w:val="24"/>
          <w:szCs w:val="24"/>
        </w:rPr>
        <w:t>transmisógina</w:t>
      </w:r>
      <w:r w:rsidR="001C26FA" w:rsidRPr="00683375">
        <w:rPr>
          <w:rFonts w:ascii="Arial" w:hAnsi="Arial" w:cs="Arial"/>
          <w:sz w:val="24"/>
          <w:szCs w:val="24"/>
        </w:rPr>
        <w:t xml:space="preserve">. Baste con recordar que nuestro país se posiciona, como la segunda nación con mayor número de casos de transfeminicidio en América Latina con un total de 701 </w:t>
      </w:r>
      <w:r w:rsidR="00460418" w:rsidRPr="00683375">
        <w:rPr>
          <w:rFonts w:ascii="Arial" w:hAnsi="Arial" w:cs="Arial"/>
          <w:sz w:val="24"/>
          <w:szCs w:val="24"/>
        </w:rPr>
        <w:t>reportes</w:t>
      </w:r>
      <w:r w:rsidR="001C26FA" w:rsidRPr="00683375">
        <w:rPr>
          <w:rFonts w:ascii="Arial" w:hAnsi="Arial" w:cs="Arial"/>
          <w:sz w:val="24"/>
          <w:szCs w:val="24"/>
        </w:rPr>
        <w:t xml:space="preserve"> entre 2008 y 2023 de acuerdo con datos elaborados por Centro de Apoyo a las Identidades Trans (CAIT)</w:t>
      </w:r>
      <w:r w:rsidR="00460418" w:rsidRPr="00683375">
        <w:rPr>
          <w:rFonts w:ascii="Arial" w:hAnsi="Arial" w:cs="Arial"/>
          <w:sz w:val="24"/>
          <w:szCs w:val="24"/>
        </w:rPr>
        <w:t xml:space="preserve"> y</w:t>
      </w:r>
      <w:r w:rsidR="00745B11" w:rsidRPr="00683375">
        <w:rPr>
          <w:rFonts w:ascii="Arial" w:hAnsi="Arial" w:cs="Arial"/>
          <w:sz w:val="24"/>
          <w:szCs w:val="24"/>
        </w:rPr>
        <w:t xml:space="preserve"> que en 2024 se registran</w:t>
      </w:r>
      <w:r w:rsidR="008112C4" w:rsidRPr="00683375">
        <w:rPr>
          <w:rFonts w:ascii="Arial" w:hAnsi="Arial" w:cs="Arial"/>
          <w:sz w:val="24"/>
          <w:szCs w:val="24"/>
        </w:rPr>
        <w:t>,</w:t>
      </w:r>
      <w:r w:rsidR="00745B11" w:rsidRPr="00683375">
        <w:rPr>
          <w:rFonts w:ascii="Arial" w:hAnsi="Arial" w:cs="Arial"/>
          <w:sz w:val="24"/>
          <w:szCs w:val="24"/>
        </w:rPr>
        <w:t xml:space="preserve"> a nivel nacional</w:t>
      </w:r>
      <w:r w:rsidR="008112C4" w:rsidRPr="00683375">
        <w:rPr>
          <w:rFonts w:ascii="Arial" w:hAnsi="Arial" w:cs="Arial"/>
          <w:sz w:val="24"/>
          <w:szCs w:val="24"/>
        </w:rPr>
        <w:t>,</w:t>
      </w:r>
      <w:r w:rsidR="00745B11" w:rsidRPr="00683375">
        <w:rPr>
          <w:rFonts w:ascii="Arial" w:hAnsi="Arial" w:cs="Arial"/>
          <w:sz w:val="24"/>
          <w:szCs w:val="24"/>
        </w:rPr>
        <w:t xml:space="preserve"> 30 asesinatos de mujeres trans según </w:t>
      </w:r>
      <w:r w:rsidR="008112C4" w:rsidRPr="00683375">
        <w:rPr>
          <w:rFonts w:ascii="Arial" w:hAnsi="Arial" w:cs="Arial"/>
          <w:sz w:val="24"/>
          <w:szCs w:val="24"/>
        </w:rPr>
        <w:t>cifras</w:t>
      </w:r>
      <w:r w:rsidR="00745B11" w:rsidRPr="00683375">
        <w:rPr>
          <w:rFonts w:ascii="Arial" w:hAnsi="Arial" w:cs="Arial"/>
          <w:sz w:val="24"/>
          <w:szCs w:val="24"/>
        </w:rPr>
        <w:t xml:space="preserve"> </w:t>
      </w:r>
      <w:r w:rsidR="008112C4" w:rsidRPr="00683375">
        <w:rPr>
          <w:rFonts w:ascii="Arial" w:hAnsi="Arial" w:cs="Arial"/>
          <w:sz w:val="24"/>
          <w:szCs w:val="24"/>
        </w:rPr>
        <w:t>encontradas</w:t>
      </w:r>
      <w:r w:rsidR="00745B11" w:rsidRPr="00683375">
        <w:rPr>
          <w:rFonts w:ascii="Arial" w:hAnsi="Arial" w:cs="Arial"/>
          <w:sz w:val="24"/>
          <w:szCs w:val="24"/>
        </w:rPr>
        <w:t xml:space="preserve"> por el Centro de Estudios Críticos de Género y Feminismos de la Universidad Iberoamericana.</w:t>
      </w:r>
    </w:p>
    <w:p w:rsidR="00FF1269" w:rsidRPr="00683375" w:rsidRDefault="008112C4" w:rsidP="00C91B54">
      <w:pPr>
        <w:spacing w:line="360" w:lineRule="auto"/>
        <w:jc w:val="both"/>
        <w:rPr>
          <w:rFonts w:ascii="Arial" w:hAnsi="Arial" w:cs="Arial"/>
          <w:sz w:val="24"/>
          <w:szCs w:val="24"/>
        </w:rPr>
      </w:pPr>
      <w:r w:rsidRPr="00683375">
        <w:rPr>
          <w:rFonts w:ascii="Arial" w:hAnsi="Arial" w:cs="Arial"/>
          <w:sz w:val="24"/>
          <w:szCs w:val="24"/>
        </w:rPr>
        <w:t>Chihuahua, Ciudad de México, Estado de México, Guerrero y Veracruz, son las entidades federativas que presentan la mayor concentración de estos lamentables casos</w:t>
      </w:r>
      <w:r w:rsidR="00D73E80" w:rsidRPr="00683375">
        <w:rPr>
          <w:rFonts w:ascii="Arial" w:hAnsi="Arial" w:cs="Arial"/>
          <w:sz w:val="24"/>
          <w:szCs w:val="24"/>
        </w:rPr>
        <w:t xml:space="preserve"> con </w:t>
      </w:r>
      <w:r w:rsidRPr="00683375">
        <w:rPr>
          <w:rFonts w:ascii="Arial" w:hAnsi="Arial" w:cs="Arial"/>
          <w:sz w:val="24"/>
          <w:szCs w:val="24"/>
        </w:rPr>
        <w:t xml:space="preserve">un total de 281 </w:t>
      </w:r>
      <w:r w:rsidR="00D73E80" w:rsidRPr="00683375">
        <w:rPr>
          <w:rFonts w:ascii="Arial" w:hAnsi="Arial" w:cs="Arial"/>
          <w:sz w:val="24"/>
          <w:szCs w:val="24"/>
        </w:rPr>
        <w:t xml:space="preserve">registros entre 2007 y 2022. En nuestro Yucatán </w:t>
      </w:r>
      <w:r w:rsidR="004D64E0" w:rsidRPr="00683375">
        <w:rPr>
          <w:rFonts w:ascii="Arial" w:hAnsi="Arial" w:cs="Arial"/>
          <w:sz w:val="24"/>
          <w:szCs w:val="24"/>
        </w:rPr>
        <w:t>la comisión de transfeminicidios es inexistente</w:t>
      </w:r>
      <w:r w:rsidR="00854841" w:rsidRPr="00683375">
        <w:rPr>
          <w:rFonts w:ascii="Arial" w:hAnsi="Arial" w:cs="Arial"/>
          <w:sz w:val="24"/>
          <w:szCs w:val="24"/>
        </w:rPr>
        <w:t>; la falta de estadísticas oficiales al respecto no es gracias a que la cultura</w:t>
      </w:r>
      <w:r w:rsidR="004D64E0" w:rsidRPr="00683375">
        <w:rPr>
          <w:rFonts w:ascii="Arial" w:hAnsi="Arial" w:cs="Arial"/>
          <w:sz w:val="24"/>
          <w:szCs w:val="24"/>
        </w:rPr>
        <w:t xml:space="preserve"> local se haya podido desprender de los males patriarcales, no</w:t>
      </w:r>
      <w:r w:rsidR="00854841" w:rsidRPr="00683375">
        <w:rPr>
          <w:rFonts w:ascii="Arial" w:hAnsi="Arial" w:cs="Arial"/>
          <w:sz w:val="24"/>
          <w:szCs w:val="24"/>
        </w:rPr>
        <w:t xml:space="preserve"> se debe a que</w:t>
      </w:r>
      <w:r w:rsidR="004D64E0" w:rsidRPr="00683375">
        <w:rPr>
          <w:rFonts w:ascii="Arial" w:hAnsi="Arial" w:cs="Arial"/>
          <w:sz w:val="24"/>
          <w:szCs w:val="24"/>
        </w:rPr>
        <w:t xml:space="preserve"> la aceptación de la diversidad sea la norma y mucho menos, esa inexistencia de casos se debe que hemos podido solucionar </w:t>
      </w:r>
      <w:r w:rsidR="00854841" w:rsidRPr="00683375">
        <w:rPr>
          <w:rFonts w:ascii="Arial" w:hAnsi="Arial" w:cs="Arial"/>
          <w:sz w:val="24"/>
          <w:szCs w:val="24"/>
        </w:rPr>
        <w:t xml:space="preserve">las violencias que dañan el desarrollo humano de los sectores más vulnerables de nuestra sociedad. </w:t>
      </w:r>
      <w:r w:rsidR="00854841" w:rsidRPr="00683375">
        <w:rPr>
          <w:rFonts w:ascii="Arial" w:hAnsi="Arial" w:cs="Arial"/>
          <w:b/>
          <w:bCs/>
          <w:sz w:val="24"/>
          <w:szCs w:val="24"/>
        </w:rPr>
        <w:t xml:space="preserve">Nuestro estado está libre de transfeminicidio, por el simple hecho de que no se encuentra tipificado en la ley </w:t>
      </w:r>
      <w:r w:rsidR="00460418" w:rsidRPr="00683375">
        <w:rPr>
          <w:rFonts w:ascii="Arial" w:hAnsi="Arial" w:cs="Arial"/>
          <w:b/>
          <w:bCs/>
          <w:sz w:val="24"/>
          <w:szCs w:val="24"/>
        </w:rPr>
        <w:t>tal delito</w:t>
      </w:r>
      <w:r w:rsidR="00854841" w:rsidRPr="00683375">
        <w:rPr>
          <w:rFonts w:ascii="Arial" w:hAnsi="Arial" w:cs="Arial"/>
          <w:b/>
          <w:bCs/>
          <w:sz w:val="24"/>
          <w:szCs w:val="24"/>
        </w:rPr>
        <w:t>.</w:t>
      </w:r>
    </w:p>
    <w:p w:rsidR="008A1C61" w:rsidRPr="00683375" w:rsidRDefault="00854841" w:rsidP="00C91B54">
      <w:pPr>
        <w:spacing w:line="360" w:lineRule="auto"/>
        <w:jc w:val="both"/>
        <w:rPr>
          <w:rFonts w:ascii="Arial" w:hAnsi="Arial" w:cs="Arial"/>
          <w:sz w:val="24"/>
          <w:szCs w:val="24"/>
        </w:rPr>
      </w:pPr>
      <w:r w:rsidRPr="00683375">
        <w:rPr>
          <w:rFonts w:ascii="Arial" w:hAnsi="Arial" w:cs="Arial"/>
          <w:sz w:val="24"/>
          <w:szCs w:val="24"/>
        </w:rPr>
        <w:t xml:space="preserve">Las condiciones de violencia interseccional que aun prevalecen en Yucatán y con las que se enfrenta las </w:t>
      </w:r>
      <w:r w:rsidR="00D24F9C" w:rsidRPr="00683375">
        <w:rPr>
          <w:rFonts w:ascii="Arial" w:hAnsi="Arial" w:cs="Arial"/>
          <w:sz w:val="24"/>
          <w:szCs w:val="24"/>
        </w:rPr>
        <w:t>mujeres trans, invariablemente conducen a que estas puedan entrar en situaciones de riesgo dados los contextos de exclusión social, pobreza, marginación, rechazo familiar y social, violencia institucional, etc., en lo</w:t>
      </w:r>
      <w:r w:rsidR="007508E8" w:rsidRPr="00683375">
        <w:rPr>
          <w:rFonts w:ascii="Arial" w:hAnsi="Arial" w:cs="Arial"/>
          <w:sz w:val="24"/>
          <w:szCs w:val="24"/>
        </w:rPr>
        <w:t>s</w:t>
      </w:r>
      <w:r w:rsidR="00D24F9C" w:rsidRPr="00683375">
        <w:rPr>
          <w:rFonts w:ascii="Arial" w:hAnsi="Arial" w:cs="Arial"/>
          <w:sz w:val="24"/>
          <w:szCs w:val="24"/>
        </w:rPr>
        <w:t xml:space="preserve"> que despliegan la identidad y expresión de género que han elegido. Tales situaciones de riesgo, inmersas en un contexto de violencia patriarcal</w:t>
      </w:r>
      <w:r w:rsidR="00460418" w:rsidRPr="00683375">
        <w:rPr>
          <w:rFonts w:ascii="Arial" w:hAnsi="Arial" w:cs="Arial"/>
          <w:sz w:val="24"/>
          <w:szCs w:val="24"/>
        </w:rPr>
        <w:t xml:space="preserve">, </w:t>
      </w:r>
      <w:r w:rsidR="00D24F9C" w:rsidRPr="00683375">
        <w:rPr>
          <w:rFonts w:ascii="Arial" w:hAnsi="Arial" w:cs="Arial"/>
          <w:sz w:val="24"/>
          <w:szCs w:val="24"/>
        </w:rPr>
        <w:t xml:space="preserve">ejercida sobre cuerpos feminizados o que se expresan dentro del espectro femenino en el que, además, </w:t>
      </w:r>
      <w:r w:rsidR="00460418" w:rsidRPr="00683375">
        <w:rPr>
          <w:rFonts w:ascii="Arial" w:hAnsi="Arial" w:cs="Arial"/>
          <w:sz w:val="24"/>
          <w:szCs w:val="24"/>
        </w:rPr>
        <w:t xml:space="preserve">hay que  agregar </w:t>
      </w:r>
      <w:r w:rsidR="00D24F9C" w:rsidRPr="00683375">
        <w:rPr>
          <w:rFonts w:ascii="Arial" w:hAnsi="Arial" w:cs="Arial"/>
          <w:sz w:val="24"/>
          <w:szCs w:val="24"/>
        </w:rPr>
        <w:t xml:space="preserve">el factor </w:t>
      </w:r>
      <w:r w:rsidR="008A1C61" w:rsidRPr="00683375">
        <w:rPr>
          <w:rFonts w:ascii="Arial" w:hAnsi="Arial" w:cs="Arial"/>
          <w:sz w:val="24"/>
          <w:szCs w:val="24"/>
        </w:rPr>
        <w:t xml:space="preserve">de racialización debido al componente étnico </w:t>
      </w:r>
      <w:r w:rsidR="00161FC9" w:rsidRPr="00683375">
        <w:rPr>
          <w:rFonts w:ascii="Arial" w:hAnsi="Arial" w:cs="Arial"/>
          <w:sz w:val="24"/>
          <w:szCs w:val="24"/>
        </w:rPr>
        <w:t xml:space="preserve">maya </w:t>
      </w:r>
      <w:r w:rsidR="008A1C61" w:rsidRPr="00683375">
        <w:rPr>
          <w:rFonts w:ascii="Arial" w:hAnsi="Arial" w:cs="Arial"/>
          <w:sz w:val="24"/>
          <w:szCs w:val="24"/>
        </w:rPr>
        <w:t xml:space="preserve">de nuestro estado, </w:t>
      </w:r>
      <w:r w:rsidR="00D24F9C" w:rsidRPr="00683375">
        <w:rPr>
          <w:rFonts w:ascii="Arial" w:hAnsi="Arial" w:cs="Arial"/>
          <w:sz w:val="24"/>
          <w:szCs w:val="24"/>
        </w:rPr>
        <w:t xml:space="preserve">generan el ambiente </w:t>
      </w:r>
      <w:r w:rsidR="008A1C61" w:rsidRPr="00683375">
        <w:rPr>
          <w:rFonts w:ascii="Arial" w:hAnsi="Arial" w:cs="Arial"/>
          <w:sz w:val="24"/>
          <w:szCs w:val="24"/>
        </w:rPr>
        <w:t>ideal para comisión de crimines en razón de genero e identidad de género, motivados por el complejo transfóbico, común denominador de todos y cada uno de los casos registrados de transfeminicidio, ahí, donde si se cuenta con un conteo oficial.</w:t>
      </w:r>
    </w:p>
    <w:p w:rsidR="00D17F81" w:rsidRPr="00683375" w:rsidRDefault="00D17F81" w:rsidP="00C91B54">
      <w:pPr>
        <w:spacing w:line="360" w:lineRule="auto"/>
        <w:jc w:val="both"/>
        <w:rPr>
          <w:rFonts w:ascii="Arial" w:hAnsi="Arial" w:cs="Arial"/>
          <w:sz w:val="24"/>
          <w:szCs w:val="24"/>
        </w:rPr>
      </w:pPr>
      <w:r w:rsidRPr="00683375">
        <w:rPr>
          <w:rFonts w:ascii="Arial" w:hAnsi="Arial" w:cs="Arial"/>
          <w:sz w:val="24"/>
          <w:szCs w:val="24"/>
        </w:rPr>
        <w:t xml:space="preserve">No obstante, el estado de vulnerabilidad con el que las personas trans llevan su </w:t>
      </w:r>
      <w:r w:rsidR="00D30BC7" w:rsidRPr="00683375">
        <w:rPr>
          <w:rFonts w:ascii="Arial" w:hAnsi="Arial" w:cs="Arial"/>
          <w:sz w:val="24"/>
          <w:szCs w:val="24"/>
        </w:rPr>
        <w:t>vida</w:t>
      </w:r>
      <w:r w:rsidRPr="00683375">
        <w:rPr>
          <w:rFonts w:ascii="Arial" w:hAnsi="Arial" w:cs="Arial"/>
          <w:sz w:val="24"/>
          <w:szCs w:val="24"/>
        </w:rPr>
        <w:t xml:space="preserve"> </w:t>
      </w:r>
      <w:r w:rsidR="00D30BC7" w:rsidRPr="00683375">
        <w:rPr>
          <w:rFonts w:ascii="Arial" w:hAnsi="Arial" w:cs="Arial"/>
          <w:sz w:val="24"/>
          <w:szCs w:val="24"/>
        </w:rPr>
        <w:t>está</w:t>
      </w:r>
      <w:r w:rsidRPr="00683375">
        <w:rPr>
          <w:rFonts w:ascii="Arial" w:hAnsi="Arial" w:cs="Arial"/>
          <w:sz w:val="24"/>
          <w:szCs w:val="24"/>
        </w:rPr>
        <w:t xml:space="preserve"> presente</w:t>
      </w:r>
      <w:r w:rsidR="00D30BC7" w:rsidRPr="00683375">
        <w:rPr>
          <w:rFonts w:ascii="Arial" w:hAnsi="Arial" w:cs="Arial"/>
          <w:sz w:val="24"/>
          <w:szCs w:val="24"/>
        </w:rPr>
        <w:t xml:space="preserve">, incluso, </w:t>
      </w:r>
      <w:r w:rsidRPr="00683375">
        <w:rPr>
          <w:rFonts w:ascii="Arial" w:hAnsi="Arial" w:cs="Arial"/>
          <w:sz w:val="24"/>
          <w:szCs w:val="24"/>
        </w:rPr>
        <w:t>no encontrándose en situaciones de riegos, en el espacio público y el privado, en el hogar, en el trabajo, en la calle</w:t>
      </w:r>
      <w:r w:rsidR="00D30BC7" w:rsidRPr="00683375">
        <w:rPr>
          <w:rFonts w:ascii="Arial" w:hAnsi="Arial" w:cs="Arial"/>
          <w:sz w:val="24"/>
          <w:szCs w:val="24"/>
        </w:rPr>
        <w:t xml:space="preserve">, pues la </w:t>
      </w:r>
      <w:r w:rsidR="00D30BC7" w:rsidRPr="00683375">
        <w:rPr>
          <w:rFonts w:ascii="Arial" w:hAnsi="Arial" w:cs="Arial"/>
          <w:b/>
          <w:bCs/>
          <w:sz w:val="24"/>
          <w:szCs w:val="24"/>
        </w:rPr>
        <w:t xml:space="preserve">violencia </w:t>
      </w:r>
      <w:r w:rsidR="008864BD" w:rsidRPr="00683375">
        <w:rPr>
          <w:rFonts w:ascii="Arial" w:hAnsi="Arial" w:cs="Arial"/>
          <w:b/>
          <w:bCs/>
          <w:sz w:val="24"/>
          <w:szCs w:val="24"/>
        </w:rPr>
        <w:t>transfóbica</w:t>
      </w:r>
      <w:r w:rsidR="00D30BC7" w:rsidRPr="00683375">
        <w:rPr>
          <w:rFonts w:ascii="Arial" w:hAnsi="Arial" w:cs="Arial"/>
          <w:b/>
          <w:bCs/>
          <w:sz w:val="24"/>
          <w:szCs w:val="24"/>
        </w:rPr>
        <w:t xml:space="preserve"> no selecciona sus ámbitos de acción, se encuentra generalizada en todas y cada una de las dimensiones sociales en las que las mujeres trans interactúan y se desenvuelven</w:t>
      </w:r>
      <w:r w:rsidR="00D30BC7" w:rsidRPr="00683375">
        <w:rPr>
          <w:rFonts w:ascii="Arial" w:hAnsi="Arial" w:cs="Arial"/>
          <w:sz w:val="24"/>
          <w:szCs w:val="24"/>
        </w:rPr>
        <w:t>. De igual manera, permean cualquier rol que haya decidió ejercer</w:t>
      </w:r>
      <w:r w:rsidR="00234CE0" w:rsidRPr="00683375">
        <w:rPr>
          <w:rFonts w:ascii="Arial" w:hAnsi="Arial" w:cs="Arial"/>
          <w:sz w:val="24"/>
          <w:szCs w:val="24"/>
        </w:rPr>
        <w:t xml:space="preserve">. </w:t>
      </w:r>
      <w:r w:rsidR="00234CE0" w:rsidRPr="00683375">
        <w:rPr>
          <w:rFonts w:ascii="Arial" w:hAnsi="Arial" w:cs="Arial"/>
          <w:b/>
          <w:bCs/>
          <w:sz w:val="24"/>
          <w:szCs w:val="24"/>
        </w:rPr>
        <w:t>Si bien el trabajo sexual se asocia a las personas transgénero</w:t>
      </w:r>
      <w:r w:rsidR="00D30BC7" w:rsidRPr="00683375">
        <w:rPr>
          <w:rFonts w:ascii="Arial" w:hAnsi="Arial" w:cs="Arial"/>
          <w:b/>
          <w:bCs/>
          <w:sz w:val="24"/>
          <w:szCs w:val="24"/>
        </w:rPr>
        <w:t xml:space="preserve">, </w:t>
      </w:r>
      <w:r w:rsidR="006836D7" w:rsidRPr="00683375">
        <w:rPr>
          <w:rFonts w:ascii="Arial" w:hAnsi="Arial" w:cs="Arial"/>
          <w:b/>
          <w:bCs/>
          <w:sz w:val="24"/>
          <w:szCs w:val="24"/>
        </w:rPr>
        <w:t>no e</w:t>
      </w:r>
      <w:r w:rsidR="00D30BC7" w:rsidRPr="00683375">
        <w:rPr>
          <w:rFonts w:ascii="Arial" w:hAnsi="Arial" w:cs="Arial"/>
          <w:b/>
          <w:bCs/>
          <w:sz w:val="24"/>
          <w:szCs w:val="24"/>
        </w:rPr>
        <w:t>s por sí mismo una situación de riesgo</w:t>
      </w:r>
      <w:r w:rsidR="006836D7" w:rsidRPr="00683375">
        <w:rPr>
          <w:rFonts w:ascii="Arial" w:hAnsi="Arial" w:cs="Arial"/>
          <w:b/>
          <w:bCs/>
          <w:sz w:val="24"/>
          <w:szCs w:val="24"/>
        </w:rPr>
        <w:t xml:space="preserve">, </w:t>
      </w:r>
      <w:r w:rsidR="00234CE0" w:rsidRPr="00683375">
        <w:rPr>
          <w:rFonts w:ascii="Arial" w:hAnsi="Arial" w:cs="Arial"/>
          <w:b/>
          <w:bCs/>
          <w:sz w:val="24"/>
          <w:szCs w:val="24"/>
        </w:rPr>
        <w:t xml:space="preserve">es </w:t>
      </w:r>
      <w:r w:rsidR="006836D7" w:rsidRPr="00683375">
        <w:rPr>
          <w:rFonts w:ascii="Arial" w:hAnsi="Arial" w:cs="Arial"/>
          <w:b/>
          <w:bCs/>
          <w:sz w:val="24"/>
          <w:szCs w:val="24"/>
        </w:rPr>
        <w:t>el contexto en el que se desempeña dicho trabajo</w:t>
      </w:r>
      <w:r w:rsidR="00234CE0" w:rsidRPr="00683375">
        <w:rPr>
          <w:rFonts w:ascii="Arial" w:hAnsi="Arial" w:cs="Arial"/>
          <w:b/>
          <w:bCs/>
          <w:sz w:val="24"/>
          <w:szCs w:val="24"/>
        </w:rPr>
        <w:t xml:space="preserve"> el que propicia los peligros que corren quienes desempeñan tal labor</w:t>
      </w:r>
      <w:r w:rsidR="00D30BC7" w:rsidRPr="00683375">
        <w:rPr>
          <w:rFonts w:ascii="Arial" w:hAnsi="Arial" w:cs="Arial"/>
          <w:b/>
          <w:bCs/>
          <w:sz w:val="24"/>
          <w:szCs w:val="24"/>
        </w:rPr>
        <w:t>,</w:t>
      </w:r>
      <w:r w:rsidR="00234CE0" w:rsidRPr="00683375">
        <w:rPr>
          <w:rFonts w:ascii="Arial" w:hAnsi="Arial" w:cs="Arial"/>
          <w:b/>
          <w:bCs/>
          <w:sz w:val="24"/>
          <w:szCs w:val="24"/>
        </w:rPr>
        <w:t xml:space="preserve"> por lo tanto,</w:t>
      </w:r>
      <w:r w:rsidR="00D30BC7" w:rsidRPr="00683375">
        <w:rPr>
          <w:rFonts w:ascii="Arial" w:hAnsi="Arial" w:cs="Arial"/>
          <w:b/>
          <w:bCs/>
          <w:sz w:val="24"/>
          <w:szCs w:val="24"/>
        </w:rPr>
        <w:t xml:space="preserve"> no supone que esta sea la única actividad laboral sujeta de ser</w:t>
      </w:r>
      <w:r w:rsidR="003C5463" w:rsidRPr="00683375">
        <w:rPr>
          <w:rFonts w:ascii="Arial" w:hAnsi="Arial" w:cs="Arial"/>
          <w:b/>
          <w:bCs/>
          <w:sz w:val="24"/>
          <w:szCs w:val="24"/>
        </w:rPr>
        <w:t xml:space="preserve"> </w:t>
      </w:r>
      <w:r w:rsidR="00D30BC7" w:rsidRPr="00683375">
        <w:rPr>
          <w:rFonts w:ascii="Arial" w:hAnsi="Arial" w:cs="Arial"/>
          <w:b/>
          <w:bCs/>
          <w:sz w:val="24"/>
          <w:szCs w:val="24"/>
        </w:rPr>
        <w:t>asociada con</w:t>
      </w:r>
      <w:r w:rsidR="00D30BC7" w:rsidRPr="00683375">
        <w:rPr>
          <w:rFonts w:ascii="Arial" w:hAnsi="Arial" w:cs="Arial"/>
          <w:sz w:val="24"/>
          <w:szCs w:val="24"/>
        </w:rPr>
        <w:t xml:space="preserve"> </w:t>
      </w:r>
      <w:r w:rsidR="00D30BC7" w:rsidRPr="00683375">
        <w:rPr>
          <w:rFonts w:ascii="Arial" w:hAnsi="Arial" w:cs="Arial"/>
          <w:b/>
          <w:bCs/>
          <w:sz w:val="24"/>
          <w:szCs w:val="24"/>
        </w:rPr>
        <w:t xml:space="preserve">la comisión de </w:t>
      </w:r>
      <w:r w:rsidR="008864BD" w:rsidRPr="00683375">
        <w:rPr>
          <w:rFonts w:ascii="Arial" w:hAnsi="Arial" w:cs="Arial"/>
          <w:b/>
          <w:bCs/>
          <w:sz w:val="24"/>
          <w:szCs w:val="24"/>
        </w:rPr>
        <w:t>personas transgénero</w:t>
      </w:r>
      <w:r w:rsidR="003C5463" w:rsidRPr="00683375">
        <w:rPr>
          <w:rFonts w:ascii="Arial" w:hAnsi="Arial" w:cs="Arial"/>
          <w:b/>
          <w:bCs/>
          <w:sz w:val="24"/>
          <w:szCs w:val="24"/>
        </w:rPr>
        <w:t>, pues pueden suceder en el desempeño de cualquier labor y no únicamente en el ejercicio del trabajo sexual</w:t>
      </w:r>
      <w:r w:rsidR="003C5463" w:rsidRPr="00683375">
        <w:rPr>
          <w:rFonts w:ascii="Arial" w:hAnsi="Arial" w:cs="Arial"/>
          <w:sz w:val="24"/>
          <w:szCs w:val="24"/>
        </w:rPr>
        <w:t>.</w:t>
      </w:r>
    </w:p>
    <w:p w:rsidR="003C5463" w:rsidRPr="00683375" w:rsidRDefault="003C5463" w:rsidP="00C91B54">
      <w:pPr>
        <w:spacing w:line="360" w:lineRule="auto"/>
        <w:jc w:val="both"/>
        <w:rPr>
          <w:rFonts w:ascii="Arial" w:hAnsi="Arial" w:cs="Arial"/>
          <w:sz w:val="24"/>
          <w:szCs w:val="24"/>
        </w:rPr>
      </w:pPr>
      <w:r w:rsidRPr="00683375">
        <w:rPr>
          <w:rFonts w:ascii="Arial" w:hAnsi="Arial" w:cs="Arial"/>
          <w:sz w:val="24"/>
          <w:szCs w:val="24"/>
        </w:rPr>
        <w:t xml:space="preserve">Así mismo, </w:t>
      </w:r>
      <w:r w:rsidRPr="00683375">
        <w:rPr>
          <w:rFonts w:ascii="Arial" w:hAnsi="Arial" w:cs="Arial"/>
          <w:b/>
          <w:bCs/>
          <w:sz w:val="24"/>
          <w:szCs w:val="24"/>
        </w:rPr>
        <w:t xml:space="preserve">la violencia </w:t>
      </w:r>
      <w:r w:rsidR="007A426D" w:rsidRPr="00683375">
        <w:rPr>
          <w:rFonts w:ascii="Arial" w:hAnsi="Arial" w:cs="Arial"/>
          <w:b/>
          <w:bCs/>
          <w:sz w:val="24"/>
          <w:szCs w:val="24"/>
        </w:rPr>
        <w:t>transfóbica</w:t>
      </w:r>
      <w:r w:rsidRPr="00683375">
        <w:rPr>
          <w:rFonts w:ascii="Arial" w:hAnsi="Arial" w:cs="Arial"/>
          <w:b/>
          <w:bCs/>
          <w:sz w:val="24"/>
          <w:szCs w:val="24"/>
        </w:rPr>
        <w:t xml:space="preserve"> no conoce de estratificación social</w:t>
      </w:r>
      <w:r w:rsidRPr="00683375">
        <w:rPr>
          <w:rFonts w:ascii="Arial" w:hAnsi="Arial" w:cs="Arial"/>
          <w:sz w:val="24"/>
          <w:szCs w:val="24"/>
        </w:rPr>
        <w:t>, si bien sus víctimas por excelencia se encuentran entre los sectores económicamente más vulnerables de nuestra sociedad, esto no significa que quienes tengan posiciones de mayor privilegio estén exentos de padecerla</w:t>
      </w:r>
      <w:r w:rsidR="002064B3" w:rsidRPr="00683375">
        <w:rPr>
          <w:rFonts w:ascii="Arial" w:hAnsi="Arial" w:cs="Arial"/>
          <w:sz w:val="24"/>
          <w:szCs w:val="24"/>
        </w:rPr>
        <w:t xml:space="preserve">, son vidas humanas </w:t>
      </w:r>
      <w:r w:rsidR="00161FC9" w:rsidRPr="00683375">
        <w:rPr>
          <w:rFonts w:ascii="Arial" w:hAnsi="Arial" w:cs="Arial"/>
          <w:sz w:val="24"/>
          <w:szCs w:val="24"/>
        </w:rPr>
        <w:t xml:space="preserve">por las </w:t>
      </w:r>
      <w:r w:rsidR="002064B3" w:rsidRPr="00683375">
        <w:rPr>
          <w:rFonts w:ascii="Arial" w:hAnsi="Arial" w:cs="Arial"/>
          <w:sz w:val="24"/>
          <w:szCs w:val="24"/>
        </w:rPr>
        <w:t>que debemos de velar cuidados y protección aun cuando formen el grupo estadístico menos numeroso en dichos sucesos.</w:t>
      </w:r>
    </w:p>
    <w:p w:rsidR="00F92979" w:rsidRPr="00683375" w:rsidRDefault="00403AD9" w:rsidP="00C91B54">
      <w:pPr>
        <w:spacing w:line="360" w:lineRule="auto"/>
        <w:jc w:val="both"/>
        <w:rPr>
          <w:rFonts w:ascii="Arial" w:hAnsi="Arial" w:cs="Arial"/>
          <w:sz w:val="24"/>
          <w:szCs w:val="24"/>
        </w:rPr>
      </w:pPr>
      <w:r w:rsidRPr="00683375">
        <w:rPr>
          <w:rFonts w:ascii="Arial" w:hAnsi="Arial" w:cs="Arial"/>
          <w:b/>
          <w:bCs/>
          <w:sz w:val="24"/>
          <w:szCs w:val="24"/>
        </w:rPr>
        <w:t xml:space="preserve">Hemos de aceptar que, el hecho de que no exista una estadística oficial en nuestro estado sobre el número de </w:t>
      </w:r>
      <w:r w:rsidR="003C5463" w:rsidRPr="00683375">
        <w:rPr>
          <w:rFonts w:ascii="Arial" w:hAnsi="Arial" w:cs="Arial"/>
          <w:b/>
          <w:bCs/>
          <w:sz w:val="24"/>
          <w:szCs w:val="24"/>
        </w:rPr>
        <w:t>transfeminicidios</w:t>
      </w:r>
      <w:r w:rsidRPr="00683375">
        <w:rPr>
          <w:rFonts w:ascii="Arial" w:hAnsi="Arial" w:cs="Arial"/>
          <w:b/>
          <w:bCs/>
          <w:sz w:val="24"/>
          <w:szCs w:val="24"/>
        </w:rPr>
        <w:t>, no implica en absoluto que estos no sucedan</w:t>
      </w:r>
      <w:r w:rsidRPr="00683375">
        <w:rPr>
          <w:rFonts w:ascii="Arial" w:hAnsi="Arial" w:cs="Arial"/>
          <w:sz w:val="24"/>
          <w:szCs w:val="24"/>
        </w:rPr>
        <w:t xml:space="preserve">. Estimaciones estadísticas sugieren </w:t>
      </w:r>
      <w:r w:rsidR="00F46845" w:rsidRPr="00683375">
        <w:rPr>
          <w:rFonts w:ascii="Arial" w:hAnsi="Arial" w:cs="Arial"/>
          <w:sz w:val="24"/>
          <w:szCs w:val="24"/>
        </w:rPr>
        <w:t>que,</w:t>
      </w:r>
      <w:r w:rsidRPr="00683375">
        <w:rPr>
          <w:rFonts w:ascii="Arial" w:hAnsi="Arial" w:cs="Arial"/>
          <w:sz w:val="24"/>
          <w:szCs w:val="24"/>
        </w:rPr>
        <w:t xml:space="preserve"> por cada caso documentado ante la autoridad competente, en promedio</w:t>
      </w:r>
      <w:r w:rsidR="00F46845" w:rsidRPr="00683375">
        <w:rPr>
          <w:rFonts w:ascii="Arial" w:hAnsi="Arial" w:cs="Arial"/>
          <w:sz w:val="24"/>
          <w:szCs w:val="24"/>
        </w:rPr>
        <w:t>,</w:t>
      </w:r>
      <w:r w:rsidRPr="00683375">
        <w:rPr>
          <w:rFonts w:ascii="Arial" w:hAnsi="Arial" w:cs="Arial"/>
          <w:sz w:val="24"/>
          <w:szCs w:val="24"/>
        </w:rPr>
        <w:t xml:space="preserve"> hay tres casos que no han sido registrados.</w:t>
      </w:r>
      <w:r w:rsidR="00F46845" w:rsidRPr="00683375">
        <w:rPr>
          <w:rFonts w:ascii="Arial" w:hAnsi="Arial" w:cs="Arial"/>
          <w:sz w:val="24"/>
          <w:szCs w:val="24"/>
        </w:rPr>
        <w:t xml:space="preserve"> </w:t>
      </w:r>
      <w:r w:rsidR="00F46845" w:rsidRPr="00683375">
        <w:rPr>
          <w:rFonts w:ascii="Arial" w:hAnsi="Arial" w:cs="Arial"/>
          <w:b/>
          <w:bCs/>
          <w:sz w:val="24"/>
          <w:szCs w:val="24"/>
        </w:rPr>
        <w:t>Al no haber registros oficiales, no podemos establecer con certeza los motivos que dan origen a un transfeminicidio</w:t>
      </w:r>
      <w:r w:rsidR="00532BA3" w:rsidRPr="00683375">
        <w:rPr>
          <w:rFonts w:ascii="Arial" w:hAnsi="Arial" w:cs="Arial"/>
          <w:b/>
          <w:bCs/>
          <w:sz w:val="24"/>
          <w:szCs w:val="24"/>
        </w:rPr>
        <w:t xml:space="preserve"> quedando este como un homicidio común</w:t>
      </w:r>
      <w:r w:rsidR="00532BA3" w:rsidRPr="00683375">
        <w:rPr>
          <w:rFonts w:ascii="Arial" w:hAnsi="Arial" w:cs="Arial"/>
          <w:sz w:val="24"/>
          <w:szCs w:val="24"/>
        </w:rPr>
        <w:t xml:space="preserve"> más (según sea el caso)</w:t>
      </w:r>
      <w:r w:rsidR="00F46845" w:rsidRPr="00683375">
        <w:rPr>
          <w:rFonts w:ascii="Arial" w:hAnsi="Arial" w:cs="Arial"/>
          <w:sz w:val="24"/>
          <w:szCs w:val="24"/>
        </w:rPr>
        <w:t xml:space="preserve"> aun y cuando estemos conscientes de que no hay otras razones </w:t>
      </w:r>
      <w:r w:rsidR="00460418" w:rsidRPr="00683375">
        <w:rPr>
          <w:rFonts w:ascii="Arial" w:hAnsi="Arial" w:cs="Arial"/>
          <w:sz w:val="24"/>
          <w:szCs w:val="24"/>
        </w:rPr>
        <w:t xml:space="preserve">tras el asesinato de una mujer trans </w:t>
      </w:r>
      <w:r w:rsidR="00F46845" w:rsidRPr="00683375">
        <w:rPr>
          <w:rFonts w:ascii="Arial" w:hAnsi="Arial" w:cs="Arial"/>
          <w:sz w:val="24"/>
          <w:szCs w:val="24"/>
        </w:rPr>
        <w:t xml:space="preserve">que </w:t>
      </w:r>
      <w:r w:rsidR="00460418" w:rsidRPr="00683375">
        <w:rPr>
          <w:rFonts w:ascii="Arial" w:hAnsi="Arial" w:cs="Arial"/>
          <w:sz w:val="24"/>
          <w:szCs w:val="24"/>
        </w:rPr>
        <w:t>el desprecio por su</w:t>
      </w:r>
      <w:r w:rsidR="00F46845" w:rsidRPr="00683375">
        <w:rPr>
          <w:rFonts w:ascii="Arial" w:hAnsi="Arial" w:cs="Arial"/>
          <w:sz w:val="24"/>
          <w:szCs w:val="24"/>
        </w:rPr>
        <w:t xml:space="preserve"> identidad de género, </w:t>
      </w:r>
      <w:r w:rsidR="00460418" w:rsidRPr="00683375">
        <w:rPr>
          <w:rFonts w:ascii="Arial" w:hAnsi="Arial" w:cs="Arial"/>
          <w:sz w:val="24"/>
          <w:szCs w:val="24"/>
        </w:rPr>
        <w:t>su</w:t>
      </w:r>
      <w:r w:rsidR="00F46845" w:rsidRPr="00683375">
        <w:rPr>
          <w:rFonts w:ascii="Arial" w:hAnsi="Arial" w:cs="Arial"/>
          <w:sz w:val="24"/>
          <w:szCs w:val="24"/>
        </w:rPr>
        <w:t xml:space="preserve"> expresión de género y la transfobia.</w:t>
      </w:r>
    </w:p>
    <w:p w:rsidR="00F46845" w:rsidRPr="00683375" w:rsidRDefault="00F46845" w:rsidP="00C91B54">
      <w:pPr>
        <w:spacing w:line="360" w:lineRule="auto"/>
        <w:jc w:val="both"/>
        <w:rPr>
          <w:rFonts w:ascii="Arial" w:hAnsi="Arial" w:cs="Arial"/>
          <w:sz w:val="24"/>
          <w:szCs w:val="24"/>
        </w:rPr>
      </w:pPr>
      <w:r w:rsidRPr="00683375">
        <w:rPr>
          <w:rFonts w:ascii="Arial" w:hAnsi="Arial" w:cs="Arial"/>
          <w:sz w:val="24"/>
          <w:szCs w:val="24"/>
        </w:rPr>
        <w:t xml:space="preserve">Que no exista, hasta el día de hoy, la tipificación del </w:t>
      </w:r>
      <w:r w:rsidR="008864BD" w:rsidRPr="00683375">
        <w:rPr>
          <w:rFonts w:ascii="Arial" w:hAnsi="Arial" w:cs="Arial"/>
          <w:sz w:val="24"/>
          <w:szCs w:val="24"/>
        </w:rPr>
        <w:t>transhomicidio</w:t>
      </w:r>
      <w:r w:rsidRPr="00683375">
        <w:rPr>
          <w:rFonts w:ascii="Arial" w:hAnsi="Arial" w:cs="Arial"/>
          <w:sz w:val="24"/>
          <w:szCs w:val="24"/>
        </w:rPr>
        <w:t xml:space="preserve"> en el Código Penal local implica</w:t>
      </w:r>
      <w:r w:rsidR="00532BA3" w:rsidRPr="00683375">
        <w:rPr>
          <w:rFonts w:ascii="Arial" w:hAnsi="Arial" w:cs="Arial"/>
          <w:sz w:val="24"/>
          <w:szCs w:val="24"/>
        </w:rPr>
        <w:t xml:space="preserve">: a) </w:t>
      </w:r>
      <w:r w:rsidRPr="00683375">
        <w:rPr>
          <w:rFonts w:ascii="Arial" w:hAnsi="Arial" w:cs="Arial"/>
          <w:sz w:val="24"/>
          <w:szCs w:val="24"/>
        </w:rPr>
        <w:t>que no se investiguen como agravados este tipo de delitos</w:t>
      </w:r>
      <w:r w:rsidR="00532BA3" w:rsidRPr="00683375">
        <w:rPr>
          <w:rFonts w:ascii="Arial" w:hAnsi="Arial" w:cs="Arial"/>
          <w:sz w:val="24"/>
          <w:szCs w:val="24"/>
        </w:rPr>
        <w:t xml:space="preserve"> y en subsecuente, que no se castiguen con la severidad que ameritan; b) que en tanto el caso no se investiga de forma adecuada, la muerte de la persona queda sin que se reconozca la motivación de</w:t>
      </w:r>
      <w:r w:rsidR="004F4193" w:rsidRPr="00683375">
        <w:rPr>
          <w:rFonts w:ascii="Arial" w:hAnsi="Arial" w:cs="Arial"/>
          <w:sz w:val="24"/>
          <w:szCs w:val="24"/>
        </w:rPr>
        <w:t>l</w:t>
      </w:r>
      <w:r w:rsidR="00532BA3" w:rsidRPr="00683375">
        <w:rPr>
          <w:rFonts w:ascii="Arial" w:hAnsi="Arial" w:cs="Arial"/>
          <w:sz w:val="24"/>
          <w:szCs w:val="24"/>
        </w:rPr>
        <w:t xml:space="preserve"> hecho; c) plantea la heterogeneidad de un delito que debe estar enmarcado por iguales circunstancias y motivos ahí donde sucede, pues presenta siempre, los mismos patrones sin importar el sitio en el que tenga lugar; d) que </w:t>
      </w:r>
      <w:r w:rsidR="00532BA3" w:rsidRPr="00683375">
        <w:rPr>
          <w:rFonts w:ascii="Arial" w:hAnsi="Arial" w:cs="Arial"/>
          <w:b/>
          <w:bCs/>
          <w:sz w:val="24"/>
          <w:szCs w:val="24"/>
        </w:rPr>
        <w:t>la sociedad señala un hecho que existe y que el Estado e instituciones que de él derivan, no reconoce</w:t>
      </w:r>
      <w:r w:rsidR="00532BA3" w:rsidRPr="00683375">
        <w:rPr>
          <w:rFonts w:ascii="Arial" w:hAnsi="Arial" w:cs="Arial"/>
          <w:sz w:val="24"/>
          <w:szCs w:val="24"/>
        </w:rPr>
        <w:t xml:space="preserve">, lo que lleva a organizaciones y colectivos civiles a establecer sus propios conteos para hacer frente a un ámbito en el que el Estado no ha podido o no ha querido interceder y; </w:t>
      </w:r>
      <w:r w:rsidR="00B31D59" w:rsidRPr="00683375">
        <w:rPr>
          <w:rFonts w:ascii="Arial" w:hAnsi="Arial" w:cs="Arial"/>
          <w:sz w:val="24"/>
          <w:szCs w:val="24"/>
        </w:rPr>
        <w:t xml:space="preserve">e) invisibiliza, oculta y niega la existencia, primero, de las mujeres trans y segundo, </w:t>
      </w:r>
      <w:r w:rsidR="00CC6AF5" w:rsidRPr="00683375">
        <w:rPr>
          <w:rFonts w:ascii="Arial" w:hAnsi="Arial" w:cs="Arial"/>
          <w:sz w:val="24"/>
          <w:szCs w:val="24"/>
        </w:rPr>
        <w:t xml:space="preserve"> de </w:t>
      </w:r>
      <w:r w:rsidR="00B31D59" w:rsidRPr="00683375">
        <w:rPr>
          <w:rFonts w:ascii="Arial" w:hAnsi="Arial" w:cs="Arial"/>
          <w:sz w:val="24"/>
          <w:szCs w:val="24"/>
        </w:rPr>
        <w:t>la violencia de que son objeto.</w:t>
      </w:r>
    </w:p>
    <w:p w:rsidR="004F41D3" w:rsidRPr="00683375" w:rsidRDefault="00085AB2" w:rsidP="00C91B54">
      <w:pPr>
        <w:spacing w:line="360" w:lineRule="auto"/>
        <w:jc w:val="both"/>
        <w:rPr>
          <w:rFonts w:ascii="Arial" w:hAnsi="Arial" w:cs="Arial"/>
          <w:sz w:val="24"/>
          <w:szCs w:val="24"/>
        </w:rPr>
      </w:pPr>
      <w:r w:rsidRPr="00683375">
        <w:rPr>
          <w:rFonts w:ascii="Arial" w:hAnsi="Arial" w:cs="Arial"/>
          <w:sz w:val="24"/>
          <w:szCs w:val="24"/>
        </w:rPr>
        <w:t>En nuestro estado</w:t>
      </w:r>
      <w:r w:rsidR="00CC6AF5" w:rsidRPr="00683375">
        <w:rPr>
          <w:rFonts w:ascii="Arial" w:hAnsi="Arial" w:cs="Arial"/>
          <w:sz w:val="24"/>
          <w:szCs w:val="24"/>
        </w:rPr>
        <w:t xml:space="preserve">, </w:t>
      </w:r>
      <w:r w:rsidRPr="00683375">
        <w:rPr>
          <w:rFonts w:ascii="Arial" w:hAnsi="Arial" w:cs="Arial"/>
          <w:sz w:val="24"/>
          <w:szCs w:val="24"/>
        </w:rPr>
        <w:t>todos conocemos el caso de Jacki, una joven de 25 años a</w:t>
      </w:r>
      <w:r w:rsidR="00CC6AF5" w:rsidRPr="00683375">
        <w:rPr>
          <w:rFonts w:ascii="Arial" w:hAnsi="Arial" w:cs="Arial"/>
          <w:sz w:val="24"/>
          <w:szCs w:val="24"/>
        </w:rPr>
        <w:t xml:space="preserve"> </w:t>
      </w:r>
      <w:r w:rsidRPr="00683375">
        <w:rPr>
          <w:rFonts w:ascii="Arial" w:hAnsi="Arial" w:cs="Arial"/>
          <w:sz w:val="24"/>
          <w:szCs w:val="24"/>
        </w:rPr>
        <w:t>l</w:t>
      </w:r>
      <w:r w:rsidR="00CC6AF5" w:rsidRPr="00683375">
        <w:rPr>
          <w:rFonts w:ascii="Arial" w:hAnsi="Arial" w:cs="Arial"/>
          <w:sz w:val="24"/>
          <w:szCs w:val="24"/>
        </w:rPr>
        <w:t>a</w:t>
      </w:r>
      <w:r w:rsidRPr="00683375">
        <w:rPr>
          <w:rFonts w:ascii="Arial" w:hAnsi="Arial" w:cs="Arial"/>
          <w:sz w:val="24"/>
          <w:szCs w:val="24"/>
        </w:rPr>
        <w:t xml:space="preserve"> que le arrebataron la vida en 2023; lo conocemos por la alerta mediática que hicieron los colectivos</w:t>
      </w:r>
      <w:r w:rsidR="00D17F81" w:rsidRPr="00683375">
        <w:rPr>
          <w:rFonts w:ascii="Arial" w:hAnsi="Arial" w:cs="Arial"/>
          <w:sz w:val="24"/>
          <w:szCs w:val="24"/>
        </w:rPr>
        <w:t xml:space="preserve"> y</w:t>
      </w:r>
      <w:r w:rsidRPr="00683375">
        <w:rPr>
          <w:rFonts w:ascii="Arial" w:hAnsi="Arial" w:cs="Arial"/>
          <w:sz w:val="24"/>
          <w:szCs w:val="24"/>
        </w:rPr>
        <w:t xml:space="preserve"> organizaciones, no porque se haya impartido justicia, visibilizado a la v</w:t>
      </w:r>
      <w:r w:rsidR="00A8383C" w:rsidRPr="00683375">
        <w:rPr>
          <w:rFonts w:ascii="Arial" w:hAnsi="Arial" w:cs="Arial"/>
          <w:sz w:val="24"/>
          <w:szCs w:val="24"/>
        </w:rPr>
        <w:t>í</w:t>
      </w:r>
      <w:r w:rsidRPr="00683375">
        <w:rPr>
          <w:rFonts w:ascii="Arial" w:hAnsi="Arial" w:cs="Arial"/>
          <w:sz w:val="24"/>
          <w:szCs w:val="24"/>
        </w:rPr>
        <w:t xml:space="preserve">ctima y tomado cartas en el asunto. </w:t>
      </w:r>
      <w:r w:rsidR="003B5636" w:rsidRPr="00683375">
        <w:rPr>
          <w:rFonts w:ascii="Arial" w:hAnsi="Arial" w:cs="Arial"/>
          <w:sz w:val="24"/>
          <w:szCs w:val="24"/>
        </w:rPr>
        <w:t xml:space="preserve">Y </w:t>
      </w:r>
      <w:r w:rsidR="003B5636" w:rsidRPr="00683375">
        <w:rPr>
          <w:rFonts w:ascii="Arial" w:hAnsi="Arial" w:cs="Arial"/>
          <w:b/>
          <w:bCs/>
          <w:sz w:val="24"/>
          <w:szCs w:val="24"/>
        </w:rPr>
        <w:t>Jacki, podemos asegurar, no es un caso aislado</w:t>
      </w:r>
      <w:r w:rsidR="00D17F81" w:rsidRPr="00683375">
        <w:rPr>
          <w:rFonts w:ascii="Arial" w:hAnsi="Arial" w:cs="Arial"/>
          <w:b/>
          <w:bCs/>
          <w:sz w:val="24"/>
          <w:szCs w:val="24"/>
        </w:rPr>
        <w:t>, es uno de entre muchos que no han sido visibilizados</w:t>
      </w:r>
      <w:r w:rsidR="00D17F81" w:rsidRPr="00683375">
        <w:rPr>
          <w:rFonts w:ascii="Arial" w:hAnsi="Arial" w:cs="Arial"/>
          <w:sz w:val="24"/>
          <w:szCs w:val="24"/>
        </w:rPr>
        <w:t>.</w:t>
      </w:r>
    </w:p>
    <w:p w:rsidR="004F41D3" w:rsidRPr="00683375" w:rsidRDefault="004F41D3" w:rsidP="00C91B54">
      <w:pPr>
        <w:spacing w:line="360" w:lineRule="auto"/>
        <w:jc w:val="both"/>
        <w:rPr>
          <w:rFonts w:ascii="Arial" w:hAnsi="Arial" w:cs="Arial"/>
          <w:sz w:val="24"/>
          <w:szCs w:val="24"/>
        </w:rPr>
      </w:pPr>
      <w:r w:rsidRPr="00683375">
        <w:rPr>
          <w:rFonts w:ascii="Arial" w:hAnsi="Arial" w:cs="Arial"/>
          <w:sz w:val="24"/>
          <w:szCs w:val="24"/>
        </w:rPr>
        <w:t xml:space="preserve">Las condiciones estructurales de violencia y discriminación no solo circunscriben a mujeres trans a condiciones de vulnerabilidad; </w:t>
      </w:r>
      <w:r w:rsidRPr="00683375">
        <w:rPr>
          <w:rFonts w:ascii="Arial" w:hAnsi="Arial" w:cs="Arial"/>
          <w:b/>
          <w:bCs/>
          <w:sz w:val="24"/>
          <w:szCs w:val="24"/>
        </w:rPr>
        <w:t>las más de las veces se invisibilizan las dinámicas de machismo, agresiones físicas y psicológicas, así como la marginalización que experimentan hombres transgénero</w:t>
      </w:r>
      <w:r w:rsidRPr="00683375">
        <w:rPr>
          <w:rFonts w:ascii="Arial" w:hAnsi="Arial" w:cs="Arial"/>
          <w:sz w:val="24"/>
          <w:szCs w:val="24"/>
        </w:rPr>
        <w:t xml:space="preserve">. </w:t>
      </w:r>
      <w:r w:rsidR="00312BBE" w:rsidRPr="00683375">
        <w:rPr>
          <w:rFonts w:ascii="Arial" w:hAnsi="Arial" w:cs="Arial"/>
          <w:sz w:val="24"/>
          <w:szCs w:val="24"/>
        </w:rPr>
        <w:t>Este sector poblacional no está exento de estereotipos de género, de ellos se espera que cumplan con los roles típicamente asignados al género masculino.</w:t>
      </w:r>
    </w:p>
    <w:p w:rsidR="00312BBE" w:rsidRPr="00683375" w:rsidRDefault="00312BBE" w:rsidP="00C91B54">
      <w:pPr>
        <w:spacing w:line="360" w:lineRule="auto"/>
        <w:jc w:val="both"/>
        <w:rPr>
          <w:rFonts w:ascii="Arial" w:hAnsi="Arial" w:cs="Arial"/>
          <w:sz w:val="24"/>
          <w:szCs w:val="24"/>
        </w:rPr>
      </w:pPr>
      <w:r w:rsidRPr="00683375">
        <w:rPr>
          <w:rFonts w:ascii="Arial" w:hAnsi="Arial" w:cs="Arial"/>
          <w:sz w:val="24"/>
          <w:szCs w:val="24"/>
        </w:rPr>
        <w:t xml:space="preserve">Encontrados frente a actitudes de desvalorización de la sociedad, </w:t>
      </w:r>
      <w:r w:rsidRPr="00683375">
        <w:rPr>
          <w:rFonts w:ascii="Arial" w:hAnsi="Arial" w:cs="Arial"/>
          <w:b/>
          <w:bCs/>
          <w:sz w:val="24"/>
          <w:szCs w:val="24"/>
        </w:rPr>
        <w:t>encuentran múltiples dificultades pues, inmersos muchos de ellos aun en un proceso de transición de género, aún conservan rasgos femeninos que no han desaparecido del todo, lo cual, condiciona de manera significativa su ingreso, en el mundo laboral, académico y en general en todo proceso de socialización</w:t>
      </w:r>
      <w:r w:rsidRPr="00683375">
        <w:rPr>
          <w:rFonts w:ascii="Arial" w:hAnsi="Arial" w:cs="Arial"/>
          <w:sz w:val="24"/>
          <w:szCs w:val="24"/>
        </w:rPr>
        <w:t xml:space="preserve"> que se encuentre atravesado por cualquier forma de discriminación y violencia transfóbica que es característica común del grueso de los espacios sociales. </w:t>
      </w:r>
    </w:p>
    <w:p w:rsidR="007C4514" w:rsidRPr="00683375" w:rsidRDefault="00312BBE" w:rsidP="007C4514">
      <w:pPr>
        <w:spacing w:line="360" w:lineRule="auto"/>
        <w:jc w:val="both"/>
        <w:rPr>
          <w:rFonts w:ascii="Arial" w:hAnsi="Arial" w:cs="Arial"/>
          <w:sz w:val="24"/>
          <w:szCs w:val="24"/>
        </w:rPr>
      </w:pPr>
      <w:r w:rsidRPr="00683375">
        <w:rPr>
          <w:rFonts w:ascii="Arial" w:hAnsi="Arial" w:cs="Arial"/>
          <w:b/>
          <w:bCs/>
          <w:sz w:val="24"/>
          <w:szCs w:val="24"/>
        </w:rPr>
        <w:t xml:space="preserve">Los hombres transgénero demuestran otros horizontes posibles dentro del espectro </w:t>
      </w:r>
      <w:r w:rsidR="00AE21FD" w:rsidRPr="00683375">
        <w:rPr>
          <w:rFonts w:ascii="Arial" w:hAnsi="Arial" w:cs="Arial"/>
          <w:b/>
          <w:bCs/>
          <w:sz w:val="24"/>
          <w:szCs w:val="24"/>
        </w:rPr>
        <w:t>de lo masculino</w:t>
      </w:r>
      <w:r w:rsidRPr="00683375">
        <w:rPr>
          <w:rFonts w:ascii="Arial" w:hAnsi="Arial" w:cs="Arial"/>
          <w:b/>
          <w:bCs/>
          <w:sz w:val="24"/>
          <w:szCs w:val="24"/>
        </w:rPr>
        <w:t>, atentando contra la norma típica de masculinidad hegemónica</w:t>
      </w:r>
      <w:r w:rsidRPr="00683375">
        <w:rPr>
          <w:rFonts w:ascii="Arial" w:hAnsi="Arial" w:cs="Arial"/>
          <w:sz w:val="24"/>
          <w:szCs w:val="24"/>
        </w:rPr>
        <w:t>, son objeto de rechazo por no conducir su vida dentro del estereotipo predominante del hombre cisgénero. Según datos</w:t>
      </w:r>
      <w:r w:rsidR="007C4514" w:rsidRPr="00683375">
        <w:rPr>
          <w:rFonts w:ascii="Arial" w:hAnsi="Arial" w:cs="Arial"/>
          <w:sz w:val="24"/>
          <w:szCs w:val="24"/>
        </w:rPr>
        <w:t xml:space="preserve"> recabados mediante encuesta realizada a hombres transgénero y realizada por </w:t>
      </w:r>
      <w:r w:rsidRPr="00683375">
        <w:rPr>
          <w:rFonts w:ascii="Arial" w:hAnsi="Arial" w:cs="Arial"/>
          <w:sz w:val="24"/>
          <w:szCs w:val="24"/>
        </w:rPr>
        <w:t>Impulso Trans y la Fundación Existimos</w:t>
      </w:r>
      <w:r w:rsidR="007C4514" w:rsidRPr="00683375">
        <w:rPr>
          <w:rFonts w:ascii="Arial" w:hAnsi="Arial" w:cs="Arial"/>
          <w:sz w:val="24"/>
          <w:szCs w:val="24"/>
        </w:rPr>
        <w:t xml:space="preserve"> el 80,2 % de los participantes han vivido discriminación y violencia en diversos estados del país, pero 9,9 % de ellos no sabe identificarla y mucho menos cono abordarla; en los datos dados a conocer en el marco del mes del Orgullo LGTBIQ+, destaca que 54,9 % de las personas trans masculinas viven violencia en la familia, 50 % en la escuela, 33,5 % en el trabajo, 38,5 % en la calle y 34,6 % al solicitar un servicio en instituciones públicas.</w:t>
      </w:r>
    </w:p>
    <w:p w:rsidR="007C4514" w:rsidRPr="00683375" w:rsidRDefault="007C4514" w:rsidP="00C91B54">
      <w:pPr>
        <w:spacing w:line="360" w:lineRule="auto"/>
        <w:jc w:val="both"/>
        <w:rPr>
          <w:rFonts w:ascii="Arial" w:hAnsi="Arial" w:cs="Arial"/>
          <w:sz w:val="24"/>
          <w:szCs w:val="24"/>
        </w:rPr>
      </w:pPr>
      <w:r w:rsidRPr="00683375">
        <w:rPr>
          <w:rFonts w:ascii="Arial" w:hAnsi="Arial" w:cs="Arial"/>
          <w:sz w:val="24"/>
          <w:szCs w:val="24"/>
        </w:rPr>
        <w:t xml:space="preserve">El no reconocimiento de la violencia por parte de amplios sectores de la población de hombres transgénero implica el desconocimiento acerca de que instancias pueden proteger sus derechos y </w:t>
      </w:r>
      <w:r w:rsidR="00D30003" w:rsidRPr="00683375">
        <w:rPr>
          <w:rFonts w:ascii="Arial" w:hAnsi="Arial" w:cs="Arial"/>
          <w:sz w:val="24"/>
          <w:szCs w:val="24"/>
        </w:rPr>
        <w:t xml:space="preserve">a </w:t>
      </w:r>
      <w:r w:rsidR="003345FE" w:rsidRPr="00683375">
        <w:rPr>
          <w:rFonts w:ascii="Arial" w:hAnsi="Arial" w:cs="Arial"/>
          <w:sz w:val="24"/>
          <w:szCs w:val="24"/>
        </w:rPr>
        <w:t>cuáles</w:t>
      </w:r>
      <w:r w:rsidR="00D30003" w:rsidRPr="00683375">
        <w:rPr>
          <w:rFonts w:ascii="Arial" w:hAnsi="Arial" w:cs="Arial"/>
          <w:sz w:val="24"/>
          <w:szCs w:val="24"/>
        </w:rPr>
        <w:t xml:space="preserve"> acudir, implica</w:t>
      </w:r>
      <w:r w:rsidR="003345FE" w:rsidRPr="00683375">
        <w:rPr>
          <w:rFonts w:ascii="Arial" w:hAnsi="Arial" w:cs="Arial"/>
          <w:sz w:val="24"/>
          <w:szCs w:val="24"/>
        </w:rPr>
        <w:t xml:space="preserve"> guardar silencio ante la violencia, implica su desconocimiento, lo cual, tiene como consecuencia su continuidad.</w:t>
      </w:r>
    </w:p>
    <w:p w:rsidR="00323243" w:rsidRPr="00683375" w:rsidRDefault="004F41D3" w:rsidP="00C91B54">
      <w:pPr>
        <w:spacing w:line="360" w:lineRule="auto"/>
        <w:jc w:val="both"/>
        <w:rPr>
          <w:rFonts w:ascii="Arial" w:hAnsi="Arial" w:cs="Arial"/>
          <w:sz w:val="24"/>
          <w:szCs w:val="24"/>
        </w:rPr>
      </w:pPr>
      <w:r w:rsidRPr="00683375">
        <w:rPr>
          <w:rFonts w:ascii="Arial" w:hAnsi="Arial" w:cs="Arial"/>
          <w:sz w:val="24"/>
          <w:szCs w:val="24"/>
        </w:rPr>
        <w:t>E</w:t>
      </w:r>
      <w:r w:rsidR="002064B3" w:rsidRPr="00683375">
        <w:rPr>
          <w:rFonts w:ascii="Arial" w:hAnsi="Arial" w:cs="Arial"/>
          <w:sz w:val="24"/>
          <w:szCs w:val="24"/>
        </w:rPr>
        <w:t xml:space="preserve">l lenguaje es nuestro limite y lo que no es nombrado no puede ser identificado, necesitamos un tipo penal claro </w:t>
      </w:r>
      <w:r w:rsidR="00CC0152" w:rsidRPr="00683375">
        <w:rPr>
          <w:rFonts w:ascii="Arial" w:hAnsi="Arial" w:cs="Arial"/>
          <w:sz w:val="24"/>
          <w:szCs w:val="24"/>
        </w:rPr>
        <w:t xml:space="preserve">para un delito que tiene sus propias características, condiciones particulares de comisión y victimas específicas. </w:t>
      </w:r>
      <w:r w:rsidR="00CC0152" w:rsidRPr="00683375">
        <w:rPr>
          <w:rFonts w:ascii="Arial" w:hAnsi="Arial" w:cs="Arial"/>
          <w:b/>
          <w:bCs/>
          <w:sz w:val="24"/>
          <w:szCs w:val="24"/>
        </w:rPr>
        <w:t>Hemos de afirmar que el no reconocimiento del transfeminicidio</w:t>
      </w:r>
      <w:r w:rsidR="00312BBE" w:rsidRPr="00683375">
        <w:rPr>
          <w:rFonts w:ascii="Arial" w:hAnsi="Arial" w:cs="Arial"/>
          <w:b/>
          <w:bCs/>
          <w:sz w:val="24"/>
          <w:szCs w:val="24"/>
        </w:rPr>
        <w:t xml:space="preserve"> y transmasculinicidio</w:t>
      </w:r>
      <w:r w:rsidR="00CC0152" w:rsidRPr="00683375">
        <w:rPr>
          <w:rFonts w:ascii="Arial" w:hAnsi="Arial" w:cs="Arial"/>
          <w:b/>
          <w:bCs/>
          <w:sz w:val="24"/>
          <w:szCs w:val="24"/>
        </w:rPr>
        <w:t xml:space="preserve"> es un atropello cometido por parte del Estado y sus órganos administrativos para con las mujeres trans</w:t>
      </w:r>
      <w:r w:rsidR="00CC0152" w:rsidRPr="00683375">
        <w:rPr>
          <w:rFonts w:ascii="Arial" w:hAnsi="Arial" w:cs="Arial"/>
          <w:sz w:val="24"/>
          <w:szCs w:val="24"/>
        </w:rPr>
        <w:t xml:space="preserve"> en primera instancia porque la violencia simbólica que esto implica, deslegitima, mediante normas culturales, el valor que tiene la experiencia de</w:t>
      </w:r>
      <w:r w:rsidR="007D033F" w:rsidRPr="00683375">
        <w:rPr>
          <w:rFonts w:ascii="Arial" w:hAnsi="Arial" w:cs="Arial"/>
          <w:sz w:val="24"/>
          <w:szCs w:val="24"/>
        </w:rPr>
        <w:t xml:space="preserve"> </w:t>
      </w:r>
      <w:r w:rsidR="00CC0152" w:rsidRPr="00683375">
        <w:rPr>
          <w:rFonts w:ascii="Arial" w:hAnsi="Arial" w:cs="Arial"/>
          <w:sz w:val="24"/>
          <w:szCs w:val="24"/>
        </w:rPr>
        <w:t>l</w:t>
      </w:r>
      <w:r w:rsidR="007D033F" w:rsidRPr="00683375">
        <w:rPr>
          <w:rFonts w:ascii="Arial" w:hAnsi="Arial" w:cs="Arial"/>
          <w:sz w:val="24"/>
          <w:szCs w:val="24"/>
        </w:rPr>
        <w:t>a</w:t>
      </w:r>
      <w:r w:rsidR="00004541" w:rsidRPr="00683375">
        <w:rPr>
          <w:rFonts w:ascii="Arial" w:hAnsi="Arial" w:cs="Arial"/>
          <w:sz w:val="24"/>
          <w:szCs w:val="24"/>
        </w:rPr>
        <w:t xml:space="preserve">s personas LGBTI+ </w:t>
      </w:r>
      <w:r w:rsidR="00CC0152" w:rsidRPr="00683375">
        <w:rPr>
          <w:rFonts w:ascii="Arial" w:hAnsi="Arial" w:cs="Arial"/>
          <w:sz w:val="24"/>
          <w:szCs w:val="24"/>
        </w:rPr>
        <w:t xml:space="preserve">y específicamente de las mujeres trans; invisibiliza porque si algo no se reconoce es como si no existiera; reproduce desigualdades y establece jerarquías de poder </w:t>
      </w:r>
      <w:r w:rsidR="00323243" w:rsidRPr="00683375">
        <w:rPr>
          <w:rFonts w:ascii="Arial" w:hAnsi="Arial" w:cs="Arial"/>
          <w:sz w:val="24"/>
          <w:szCs w:val="24"/>
        </w:rPr>
        <w:t>—lo tuyo no importa, lo mío si— y finalmente; la afectación emocional y sensitiva que tiene el desprecio y el abandono que conlleva la negativa a ser reconocido, comprende una humillación que no podemos permitir.</w:t>
      </w:r>
    </w:p>
    <w:p w:rsidR="008864BD" w:rsidRPr="00683375" w:rsidRDefault="008864BD" w:rsidP="008864BD">
      <w:pPr>
        <w:spacing w:line="360" w:lineRule="auto"/>
        <w:jc w:val="both"/>
        <w:rPr>
          <w:rFonts w:ascii="Arial" w:hAnsi="Arial" w:cs="Arial"/>
          <w:b/>
          <w:bCs/>
          <w:sz w:val="24"/>
          <w:szCs w:val="24"/>
        </w:rPr>
      </w:pPr>
      <w:r w:rsidRPr="00683375">
        <w:rPr>
          <w:rFonts w:ascii="Arial" w:hAnsi="Arial" w:cs="Arial"/>
          <w:sz w:val="24"/>
          <w:szCs w:val="24"/>
        </w:rPr>
        <w:t xml:space="preserve">Estos problemas y otros podrán ser abordados y seguramente, nuestra sociedad llegara al punto en que sea capaz de darles solución, pero dar el primer paso es la acción fundamental para llegar a ello. Junto a un pequeño grupo conformado por Nayarit y Ciudad de México, cuyos congresos locales han aprobado la tipificación de transfeminicidio en sus respectivos códigos penales en 2024 y este 2025, Baja California, Baja California Sur y Campeche se han sumado en el reconocimiento de este delito, nuestro estado podría colocarse a la vanguardia </w:t>
      </w:r>
      <w:r w:rsidRPr="00683375">
        <w:rPr>
          <w:rFonts w:ascii="Arial" w:hAnsi="Arial" w:cs="Arial"/>
          <w:b/>
          <w:bCs/>
          <w:sz w:val="24"/>
          <w:szCs w:val="24"/>
        </w:rPr>
        <w:t>tipificando el transhomicidio dentro del Código Penal del Estado de Yucatán colocándose, en un sitio sin precedentes en cuanto al reconocimiento de las identidades y expresiones de género y el hacer justicia a un sector históricamente marginalizado.</w:t>
      </w:r>
    </w:p>
    <w:p w:rsidR="00B31D59" w:rsidRPr="00683375" w:rsidRDefault="008864BD" w:rsidP="00C91B54">
      <w:pPr>
        <w:spacing w:line="360" w:lineRule="auto"/>
        <w:jc w:val="both"/>
        <w:rPr>
          <w:rFonts w:ascii="Arial" w:hAnsi="Arial" w:cs="Arial"/>
          <w:sz w:val="24"/>
          <w:szCs w:val="24"/>
        </w:rPr>
      </w:pPr>
      <w:r w:rsidRPr="00683375">
        <w:rPr>
          <w:rFonts w:ascii="Arial" w:hAnsi="Arial" w:cs="Arial"/>
          <w:b/>
          <w:bCs/>
          <w:sz w:val="24"/>
          <w:szCs w:val="24"/>
        </w:rPr>
        <w:t>La tipificación</w:t>
      </w:r>
      <w:r w:rsidR="00A1402B" w:rsidRPr="00683375">
        <w:rPr>
          <w:rFonts w:ascii="Arial" w:hAnsi="Arial" w:cs="Arial"/>
          <w:b/>
          <w:bCs/>
          <w:sz w:val="24"/>
          <w:szCs w:val="24"/>
        </w:rPr>
        <w:t>, únicamente</w:t>
      </w:r>
      <w:r w:rsidRPr="00683375">
        <w:rPr>
          <w:rFonts w:ascii="Arial" w:hAnsi="Arial" w:cs="Arial"/>
          <w:b/>
          <w:bCs/>
          <w:sz w:val="24"/>
          <w:szCs w:val="24"/>
        </w:rPr>
        <w:t xml:space="preserve"> del transfeminicidio </w:t>
      </w:r>
      <w:r w:rsidR="00A1402B" w:rsidRPr="00683375">
        <w:rPr>
          <w:rFonts w:ascii="Arial" w:hAnsi="Arial" w:cs="Arial"/>
          <w:b/>
          <w:bCs/>
          <w:sz w:val="24"/>
          <w:szCs w:val="24"/>
        </w:rPr>
        <w:t>no es suficientemente para comprender las diversas identidades de género y expresiones de género,</w:t>
      </w:r>
      <w:r w:rsidR="00F26018" w:rsidRPr="00683375">
        <w:rPr>
          <w:rFonts w:ascii="Arial" w:hAnsi="Arial" w:cs="Arial"/>
          <w:b/>
          <w:bCs/>
          <w:sz w:val="24"/>
          <w:szCs w:val="24"/>
        </w:rPr>
        <w:t xml:space="preserve"> tenemos que reconocer también a las masculinidades trans, que también son parte de un mismo fenómeno</w:t>
      </w:r>
      <w:r w:rsidR="00F26018" w:rsidRPr="00683375">
        <w:rPr>
          <w:rFonts w:ascii="Arial" w:hAnsi="Arial" w:cs="Arial"/>
          <w:sz w:val="24"/>
          <w:szCs w:val="24"/>
        </w:rPr>
        <w:t xml:space="preserve"> </w:t>
      </w:r>
      <w:r w:rsidR="00A1402B" w:rsidRPr="00683375">
        <w:rPr>
          <w:rFonts w:ascii="Arial" w:hAnsi="Arial" w:cs="Arial"/>
          <w:sz w:val="24"/>
          <w:szCs w:val="24"/>
        </w:rPr>
        <w:t>que</w:t>
      </w:r>
      <w:r w:rsidR="00F26018" w:rsidRPr="00683375">
        <w:rPr>
          <w:rFonts w:ascii="Arial" w:hAnsi="Arial" w:cs="Arial"/>
          <w:sz w:val="24"/>
          <w:szCs w:val="24"/>
        </w:rPr>
        <w:t xml:space="preserve"> en</w:t>
      </w:r>
      <w:r w:rsidR="00A1402B" w:rsidRPr="00683375">
        <w:rPr>
          <w:rFonts w:ascii="Arial" w:hAnsi="Arial" w:cs="Arial"/>
          <w:sz w:val="24"/>
          <w:szCs w:val="24"/>
        </w:rPr>
        <w:t xml:space="preserve"> los tiempos actuales se nos presentan y con los</w:t>
      </w:r>
      <w:r w:rsidR="00F26018" w:rsidRPr="00683375">
        <w:rPr>
          <w:rFonts w:ascii="Arial" w:hAnsi="Arial" w:cs="Arial"/>
          <w:sz w:val="24"/>
          <w:szCs w:val="24"/>
        </w:rPr>
        <w:t xml:space="preserve"> que</w:t>
      </w:r>
      <w:r w:rsidR="00A1402B" w:rsidRPr="00683375">
        <w:rPr>
          <w:rFonts w:ascii="Arial" w:hAnsi="Arial" w:cs="Arial"/>
          <w:sz w:val="24"/>
          <w:szCs w:val="24"/>
        </w:rPr>
        <w:t xml:space="preserve"> hemos de estar a la altura. </w:t>
      </w:r>
      <w:r w:rsidR="00354205" w:rsidRPr="00683375">
        <w:rPr>
          <w:rFonts w:ascii="Arial" w:hAnsi="Arial" w:cs="Arial"/>
          <w:sz w:val="24"/>
          <w:szCs w:val="24"/>
        </w:rPr>
        <w:t xml:space="preserve">Hemos de resarcir esta falencia con la que el </w:t>
      </w:r>
      <w:r w:rsidR="0044563A" w:rsidRPr="00683375">
        <w:rPr>
          <w:rFonts w:ascii="Arial" w:hAnsi="Arial" w:cs="Arial"/>
          <w:sz w:val="24"/>
          <w:szCs w:val="24"/>
        </w:rPr>
        <w:t>E</w:t>
      </w:r>
      <w:r w:rsidR="00354205" w:rsidRPr="00683375">
        <w:rPr>
          <w:rFonts w:ascii="Arial" w:hAnsi="Arial" w:cs="Arial"/>
          <w:sz w:val="24"/>
          <w:szCs w:val="24"/>
        </w:rPr>
        <w:t xml:space="preserve">stado interacciona con </w:t>
      </w:r>
      <w:r w:rsidR="00004541" w:rsidRPr="00683375">
        <w:rPr>
          <w:rFonts w:ascii="Arial" w:hAnsi="Arial" w:cs="Arial"/>
          <w:sz w:val="24"/>
          <w:szCs w:val="24"/>
        </w:rPr>
        <w:t>las personas LGBTI+</w:t>
      </w:r>
      <w:r w:rsidR="00354205" w:rsidRPr="00683375">
        <w:rPr>
          <w:rFonts w:ascii="Arial" w:hAnsi="Arial" w:cs="Arial"/>
          <w:sz w:val="24"/>
          <w:szCs w:val="24"/>
        </w:rPr>
        <w:t xml:space="preserve">, acorde a los principios que guían nuestro movimiento tenemos el compromiso de erradicar cualquier forma de violencia, discriminación, racismo, machismo y clasismo, es por lo que, </w:t>
      </w:r>
      <w:r w:rsidR="00EE1C6E" w:rsidRPr="00683375">
        <w:rPr>
          <w:rFonts w:ascii="Arial" w:hAnsi="Arial" w:cs="Arial"/>
          <w:sz w:val="24"/>
          <w:szCs w:val="24"/>
        </w:rPr>
        <w:t xml:space="preserve">en </w:t>
      </w:r>
      <w:r w:rsidR="00354205" w:rsidRPr="00683375">
        <w:rPr>
          <w:rFonts w:ascii="Arial" w:hAnsi="Arial" w:cs="Arial"/>
          <w:sz w:val="24"/>
          <w:szCs w:val="24"/>
        </w:rPr>
        <w:t>esta iniciativa, se</w:t>
      </w:r>
      <w:r w:rsidR="000214C1" w:rsidRPr="00683375">
        <w:rPr>
          <w:rFonts w:ascii="Arial" w:hAnsi="Arial" w:cs="Arial"/>
          <w:sz w:val="24"/>
          <w:szCs w:val="24"/>
        </w:rPr>
        <w:t xml:space="preserve"> intenta modificar diversas disposiciones al Código Penal del Estado de Yucatán</w:t>
      </w:r>
      <w:r w:rsidR="00354205" w:rsidRPr="00683375">
        <w:rPr>
          <w:rFonts w:ascii="Arial" w:hAnsi="Arial" w:cs="Arial"/>
          <w:sz w:val="24"/>
          <w:szCs w:val="24"/>
        </w:rPr>
        <w:t>. Cada modificación tiene un objetivo específico que a continuación se sintetiza:</w:t>
      </w:r>
    </w:p>
    <w:p w:rsidR="00B31D59" w:rsidRPr="00683375" w:rsidRDefault="00B31D59" w:rsidP="00A07DF6">
      <w:pPr>
        <w:spacing w:line="360" w:lineRule="auto"/>
        <w:jc w:val="both"/>
        <w:rPr>
          <w:rFonts w:ascii="Arial" w:hAnsi="Arial" w:cs="Arial"/>
          <w:sz w:val="24"/>
          <w:szCs w:val="24"/>
        </w:rPr>
      </w:pPr>
      <w:r w:rsidRPr="00683375">
        <w:rPr>
          <w:rFonts w:ascii="Arial" w:hAnsi="Arial" w:cs="Arial"/>
          <w:sz w:val="24"/>
          <w:szCs w:val="24"/>
        </w:rPr>
        <w:t>Artículo 13 del Código Penal del Estado de Yucatán</w:t>
      </w:r>
      <w:r w:rsidR="00A1402B" w:rsidRPr="00683375">
        <w:rPr>
          <w:rFonts w:ascii="Arial" w:hAnsi="Arial" w:cs="Arial"/>
          <w:sz w:val="24"/>
          <w:szCs w:val="24"/>
        </w:rPr>
        <w:t>.</w:t>
      </w:r>
    </w:p>
    <w:p w:rsidR="00B31D59" w:rsidRPr="00683375" w:rsidRDefault="00F95F70" w:rsidP="00A07DF6">
      <w:pPr>
        <w:pStyle w:val="Prrafodelista"/>
        <w:numPr>
          <w:ilvl w:val="0"/>
          <w:numId w:val="5"/>
        </w:numPr>
        <w:spacing w:line="360" w:lineRule="auto"/>
        <w:jc w:val="both"/>
        <w:rPr>
          <w:rFonts w:ascii="Arial" w:hAnsi="Arial" w:cs="Arial"/>
          <w:sz w:val="24"/>
          <w:szCs w:val="24"/>
        </w:rPr>
      </w:pPr>
      <w:r w:rsidRPr="00683375">
        <w:rPr>
          <w:rFonts w:ascii="Arial" w:hAnsi="Arial" w:cs="Arial"/>
          <w:sz w:val="24"/>
          <w:szCs w:val="24"/>
        </w:rPr>
        <w:t>C</w:t>
      </w:r>
      <w:r w:rsidR="00354205" w:rsidRPr="00683375">
        <w:rPr>
          <w:rFonts w:ascii="Arial" w:hAnsi="Arial" w:cs="Arial"/>
          <w:sz w:val="24"/>
          <w:szCs w:val="24"/>
        </w:rPr>
        <w:t xml:space="preserve">onsiderar al </w:t>
      </w:r>
      <w:r w:rsidR="00A35002" w:rsidRPr="00683375">
        <w:rPr>
          <w:rFonts w:ascii="Arial" w:hAnsi="Arial" w:cs="Arial"/>
          <w:sz w:val="24"/>
          <w:szCs w:val="24"/>
        </w:rPr>
        <w:t>transhomicidio</w:t>
      </w:r>
      <w:r w:rsidR="00B77416" w:rsidRPr="00683375">
        <w:rPr>
          <w:rFonts w:ascii="Arial" w:hAnsi="Arial" w:cs="Arial"/>
          <w:sz w:val="24"/>
          <w:szCs w:val="24"/>
        </w:rPr>
        <w:t xml:space="preserve"> como</w:t>
      </w:r>
      <w:r w:rsidR="00354205" w:rsidRPr="00683375">
        <w:rPr>
          <w:rFonts w:ascii="Arial" w:hAnsi="Arial" w:cs="Arial"/>
          <w:sz w:val="24"/>
          <w:szCs w:val="24"/>
        </w:rPr>
        <w:t xml:space="preserve"> un delito grave</w:t>
      </w:r>
      <w:r w:rsidR="00A1402B" w:rsidRPr="00683375">
        <w:rPr>
          <w:rFonts w:ascii="Arial" w:hAnsi="Arial" w:cs="Arial"/>
          <w:sz w:val="24"/>
          <w:szCs w:val="24"/>
        </w:rPr>
        <w:t>.</w:t>
      </w:r>
    </w:p>
    <w:p w:rsidR="00B31D59" w:rsidRPr="00683375" w:rsidRDefault="00B31D59" w:rsidP="00A07DF6">
      <w:pPr>
        <w:spacing w:line="360" w:lineRule="auto"/>
        <w:jc w:val="both"/>
        <w:rPr>
          <w:rFonts w:ascii="Arial" w:hAnsi="Arial" w:cs="Arial"/>
          <w:sz w:val="24"/>
          <w:szCs w:val="24"/>
        </w:rPr>
      </w:pPr>
      <w:r w:rsidRPr="00683375">
        <w:rPr>
          <w:rFonts w:ascii="Arial" w:hAnsi="Arial" w:cs="Arial"/>
          <w:sz w:val="24"/>
          <w:szCs w:val="24"/>
        </w:rPr>
        <w:t>Artículo 34 del Código Penal del Estado de Yucatán</w:t>
      </w:r>
      <w:r w:rsidR="00A1402B" w:rsidRPr="00683375">
        <w:rPr>
          <w:rFonts w:ascii="Arial" w:hAnsi="Arial" w:cs="Arial"/>
          <w:sz w:val="24"/>
          <w:szCs w:val="24"/>
        </w:rPr>
        <w:t>.</w:t>
      </w:r>
    </w:p>
    <w:p w:rsidR="00B31D59" w:rsidRPr="00683375" w:rsidRDefault="00B31D59" w:rsidP="00A07DF6">
      <w:pPr>
        <w:pStyle w:val="Prrafodelista"/>
        <w:numPr>
          <w:ilvl w:val="0"/>
          <w:numId w:val="5"/>
        </w:numPr>
        <w:spacing w:line="360" w:lineRule="auto"/>
        <w:jc w:val="both"/>
        <w:rPr>
          <w:rFonts w:ascii="Arial" w:hAnsi="Arial" w:cs="Arial"/>
          <w:sz w:val="24"/>
          <w:szCs w:val="24"/>
        </w:rPr>
      </w:pPr>
      <w:r w:rsidRPr="00683375">
        <w:rPr>
          <w:rFonts w:ascii="Arial" w:hAnsi="Arial" w:cs="Arial"/>
          <w:sz w:val="24"/>
          <w:szCs w:val="24"/>
        </w:rPr>
        <w:t xml:space="preserve">Fijar la indemnización correspondiente en caso de </w:t>
      </w:r>
      <w:r w:rsidR="00A35002" w:rsidRPr="00683375">
        <w:rPr>
          <w:rFonts w:ascii="Arial" w:hAnsi="Arial" w:cs="Arial"/>
          <w:sz w:val="24"/>
          <w:szCs w:val="24"/>
        </w:rPr>
        <w:t>transhomicidio</w:t>
      </w:r>
      <w:r w:rsidR="00B77416" w:rsidRPr="00683375">
        <w:rPr>
          <w:rFonts w:ascii="Arial" w:hAnsi="Arial" w:cs="Arial"/>
          <w:sz w:val="24"/>
          <w:szCs w:val="24"/>
        </w:rPr>
        <w:t>.</w:t>
      </w:r>
    </w:p>
    <w:p w:rsidR="00B31D59" w:rsidRPr="00683375" w:rsidRDefault="00B31D59" w:rsidP="00A07DF6">
      <w:pPr>
        <w:spacing w:line="360" w:lineRule="auto"/>
        <w:jc w:val="both"/>
        <w:rPr>
          <w:rFonts w:ascii="Arial" w:hAnsi="Arial" w:cs="Arial"/>
          <w:sz w:val="24"/>
          <w:szCs w:val="24"/>
        </w:rPr>
      </w:pPr>
      <w:r w:rsidRPr="00683375">
        <w:rPr>
          <w:rFonts w:ascii="Arial" w:hAnsi="Arial" w:cs="Arial"/>
          <w:sz w:val="24"/>
          <w:szCs w:val="24"/>
        </w:rPr>
        <w:t xml:space="preserve">Fracción XI del Articulo 394 </w:t>
      </w:r>
      <w:r w:rsidR="00017B10" w:rsidRPr="00683375">
        <w:rPr>
          <w:rFonts w:ascii="Arial" w:hAnsi="Arial" w:cs="Arial"/>
          <w:sz w:val="24"/>
          <w:szCs w:val="24"/>
        </w:rPr>
        <w:t>Quinquies</w:t>
      </w:r>
      <w:r w:rsidRPr="00683375">
        <w:rPr>
          <w:rFonts w:ascii="Arial" w:hAnsi="Arial" w:cs="Arial"/>
          <w:sz w:val="24"/>
          <w:szCs w:val="24"/>
        </w:rPr>
        <w:t xml:space="preserve"> del Código Penal de Yucatán</w:t>
      </w:r>
      <w:r w:rsidR="00A1402B" w:rsidRPr="00683375">
        <w:rPr>
          <w:rFonts w:ascii="Arial" w:hAnsi="Arial" w:cs="Arial"/>
          <w:sz w:val="24"/>
          <w:szCs w:val="24"/>
        </w:rPr>
        <w:t>.</w:t>
      </w:r>
    </w:p>
    <w:p w:rsidR="00B31D59" w:rsidRPr="00683375" w:rsidRDefault="00B31D59" w:rsidP="00A07DF6">
      <w:pPr>
        <w:pStyle w:val="Prrafodelista"/>
        <w:numPr>
          <w:ilvl w:val="0"/>
          <w:numId w:val="5"/>
        </w:numPr>
        <w:spacing w:line="360" w:lineRule="auto"/>
        <w:jc w:val="both"/>
        <w:rPr>
          <w:rFonts w:ascii="Arial" w:hAnsi="Arial" w:cs="Arial"/>
          <w:sz w:val="24"/>
          <w:szCs w:val="24"/>
        </w:rPr>
      </w:pPr>
      <w:r w:rsidRPr="00683375">
        <w:rPr>
          <w:rFonts w:ascii="Arial" w:hAnsi="Arial" w:cs="Arial"/>
          <w:sz w:val="24"/>
          <w:szCs w:val="24"/>
        </w:rPr>
        <w:t xml:space="preserve">Contemplar como causante de </w:t>
      </w:r>
      <w:r w:rsidR="00A35002" w:rsidRPr="00683375">
        <w:rPr>
          <w:rFonts w:ascii="Arial" w:hAnsi="Arial" w:cs="Arial"/>
          <w:sz w:val="24"/>
          <w:szCs w:val="24"/>
        </w:rPr>
        <w:t xml:space="preserve">transhomicidio </w:t>
      </w:r>
      <w:r w:rsidRPr="00683375">
        <w:rPr>
          <w:rFonts w:ascii="Arial" w:hAnsi="Arial" w:cs="Arial"/>
          <w:sz w:val="24"/>
          <w:szCs w:val="24"/>
        </w:rPr>
        <w:t>que la víctima haya sufrido cualquier tipo de explotación en detrimento de su persona por parte del activo.</w:t>
      </w:r>
    </w:p>
    <w:p w:rsidR="00B31D59" w:rsidRPr="00683375" w:rsidRDefault="00B31D59" w:rsidP="00A07DF6">
      <w:pPr>
        <w:spacing w:line="360" w:lineRule="auto"/>
        <w:jc w:val="both"/>
        <w:rPr>
          <w:rFonts w:ascii="Arial" w:hAnsi="Arial" w:cs="Arial"/>
          <w:sz w:val="24"/>
          <w:szCs w:val="24"/>
        </w:rPr>
      </w:pPr>
      <w:r w:rsidRPr="00683375">
        <w:rPr>
          <w:rFonts w:ascii="Arial" w:hAnsi="Arial" w:cs="Arial"/>
          <w:sz w:val="24"/>
          <w:szCs w:val="24"/>
        </w:rPr>
        <w:t xml:space="preserve">Capítulo XII.- </w:t>
      </w:r>
      <w:r w:rsidR="00A86421" w:rsidRPr="00683375">
        <w:rPr>
          <w:rFonts w:ascii="Arial" w:hAnsi="Arial" w:cs="Arial"/>
          <w:sz w:val="24"/>
          <w:szCs w:val="24"/>
        </w:rPr>
        <w:t>T</w:t>
      </w:r>
      <w:r w:rsidR="00A35002" w:rsidRPr="00683375">
        <w:rPr>
          <w:rFonts w:ascii="Arial" w:hAnsi="Arial" w:cs="Arial"/>
          <w:sz w:val="24"/>
          <w:szCs w:val="24"/>
        </w:rPr>
        <w:t>ranshomicidio</w:t>
      </w:r>
      <w:r w:rsidR="004202C6" w:rsidRPr="00683375">
        <w:rPr>
          <w:rFonts w:ascii="Arial" w:hAnsi="Arial" w:cs="Arial"/>
          <w:sz w:val="24"/>
          <w:szCs w:val="24"/>
        </w:rPr>
        <w:t>.</w:t>
      </w:r>
    </w:p>
    <w:p w:rsidR="00B31D59" w:rsidRPr="00683375" w:rsidRDefault="00354205" w:rsidP="00A07DF6">
      <w:pPr>
        <w:pStyle w:val="Prrafodelista"/>
        <w:numPr>
          <w:ilvl w:val="0"/>
          <w:numId w:val="5"/>
        </w:numPr>
        <w:spacing w:line="360" w:lineRule="auto"/>
        <w:jc w:val="both"/>
        <w:rPr>
          <w:rFonts w:ascii="Arial" w:hAnsi="Arial" w:cs="Arial"/>
          <w:sz w:val="24"/>
          <w:szCs w:val="24"/>
        </w:rPr>
      </w:pPr>
      <w:r w:rsidRPr="00683375">
        <w:rPr>
          <w:rFonts w:ascii="Arial" w:hAnsi="Arial" w:cs="Arial"/>
          <w:sz w:val="24"/>
          <w:szCs w:val="24"/>
        </w:rPr>
        <w:t>Tipificar e</w:t>
      </w:r>
      <w:r w:rsidR="00B31D59" w:rsidRPr="00683375">
        <w:rPr>
          <w:rFonts w:ascii="Arial" w:hAnsi="Arial" w:cs="Arial"/>
          <w:sz w:val="24"/>
          <w:szCs w:val="24"/>
        </w:rPr>
        <w:t xml:space="preserve">l delito de </w:t>
      </w:r>
      <w:r w:rsidR="00A35002" w:rsidRPr="00683375">
        <w:rPr>
          <w:rFonts w:ascii="Arial" w:hAnsi="Arial" w:cs="Arial"/>
          <w:sz w:val="24"/>
          <w:szCs w:val="24"/>
        </w:rPr>
        <w:t>transhomicidio</w:t>
      </w:r>
      <w:r w:rsidR="0078776D" w:rsidRPr="00683375">
        <w:rPr>
          <w:rFonts w:ascii="Arial" w:hAnsi="Arial" w:cs="Arial"/>
          <w:sz w:val="24"/>
          <w:szCs w:val="24"/>
        </w:rPr>
        <w:t>.</w:t>
      </w:r>
    </w:p>
    <w:p w:rsidR="00397BF6" w:rsidRPr="00683375" w:rsidRDefault="00971E87" w:rsidP="00C91B54">
      <w:pPr>
        <w:spacing w:line="360" w:lineRule="auto"/>
        <w:jc w:val="both"/>
        <w:rPr>
          <w:rFonts w:ascii="Arial" w:hAnsi="Arial" w:cs="Arial"/>
          <w:sz w:val="24"/>
          <w:szCs w:val="24"/>
        </w:rPr>
      </w:pPr>
      <w:r w:rsidRPr="00683375">
        <w:rPr>
          <w:rFonts w:ascii="Arial" w:hAnsi="Arial" w:cs="Arial"/>
          <w:sz w:val="24"/>
          <w:szCs w:val="24"/>
        </w:rPr>
        <w:t xml:space="preserve">Con la tipificación del </w:t>
      </w:r>
      <w:r w:rsidR="00A86421" w:rsidRPr="00683375">
        <w:rPr>
          <w:rFonts w:ascii="Arial" w:hAnsi="Arial" w:cs="Arial"/>
          <w:sz w:val="24"/>
          <w:szCs w:val="24"/>
        </w:rPr>
        <w:t>transhomicidio</w:t>
      </w:r>
      <w:r w:rsidR="004F41D3" w:rsidRPr="00683375">
        <w:rPr>
          <w:rFonts w:ascii="Arial" w:hAnsi="Arial" w:cs="Arial"/>
          <w:sz w:val="24"/>
          <w:szCs w:val="24"/>
        </w:rPr>
        <w:t xml:space="preserve"> </w:t>
      </w:r>
      <w:r w:rsidRPr="00683375">
        <w:rPr>
          <w:rFonts w:ascii="Arial" w:hAnsi="Arial" w:cs="Arial"/>
          <w:sz w:val="24"/>
          <w:szCs w:val="24"/>
        </w:rPr>
        <w:t xml:space="preserve">damos un paso adelante, de muchos que faltan, por respetar y reconocer la identidad de las víctimas; identificar conductas nocivas para nuestra sociedad y generar los mecanismos apropiados para combatirlas y erradicar definitivamente la violencia transmisógina y en cualquiera de sus presentaciones; combatir la discriminación en todos los niveles de gobierno y en los poderes que configuran nuestro Estado y sobre todo; atender las demandas ciudadanas a la vez que regresamos el poder al pueblo; el poder de la palabra, de la acción política, de los cuidados, de las redes de apoyo y del </w:t>
      </w:r>
      <w:r w:rsidR="00807095" w:rsidRPr="00683375">
        <w:rPr>
          <w:rFonts w:ascii="Arial" w:hAnsi="Arial" w:cs="Arial"/>
          <w:sz w:val="24"/>
          <w:szCs w:val="24"/>
        </w:rPr>
        <w:t xml:space="preserve">amor, pero sobre todo, se podrá </w:t>
      </w:r>
      <w:r w:rsidR="00807095" w:rsidRPr="00683375">
        <w:rPr>
          <w:rFonts w:ascii="Arial" w:hAnsi="Arial" w:cs="Arial"/>
          <w:b/>
          <w:bCs/>
          <w:sz w:val="24"/>
          <w:szCs w:val="24"/>
        </w:rPr>
        <w:t>re</w:t>
      </w:r>
      <w:r w:rsidR="000214C1" w:rsidRPr="00683375">
        <w:rPr>
          <w:rFonts w:ascii="Arial" w:hAnsi="Arial" w:cs="Arial"/>
          <w:b/>
          <w:bCs/>
          <w:sz w:val="24"/>
          <w:szCs w:val="24"/>
        </w:rPr>
        <w:t>conocer la identidad de las víctimas, nombrar el odio y hacer justicia</w:t>
      </w:r>
      <w:r w:rsidRPr="00683375">
        <w:rPr>
          <w:rFonts w:ascii="Arial" w:hAnsi="Arial" w:cs="Arial"/>
          <w:b/>
          <w:bCs/>
          <w:sz w:val="24"/>
          <w:szCs w:val="24"/>
        </w:rPr>
        <w:t>.</w:t>
      </w:r>
    </w:p>
    <w:p w:rsidR="0074047C" w:rsidRPr="00683375" w:rsidRDefault="00C22F9A" w:rsidP="00C91B54">
      <w:pPr>
        <w:spacing w:line="360" w:lineRule="auto"/>
        <w:jc w:val="both"/>
        <w:rPr>
          <w:rFonts w:ascii="Arial" w:eastAsia="Times New Roman" w:hAnsi="Arial" w:cs="Arial"/>
          <w:b/>
          <w:bCs/>
          <w:sz w:val="24"/>
          <w:szCs w:val="24"/>
          <w:lang w:eastAsia="es-MX"/>
        </w:rPr>
      </w:pPr>
      <w:r w:rsidRPr="00683375">
        <w:rPr>
          <w:rFonts w:ascii="Arial" w:hAnsi="Arial" w:cs="Arial"/>
          <w:color w:val="000000"/>
          <w:sz w:val="24"/>
          <w:szCs w:val="24"/>
        </w:rPr>
        <w:t xml:space="preserve">Es por todo lo anterior, y </w:t>
      </w:r>
      <w:r w:rsidR="00924BB0" w:rsidRPr="00683375">
        <w:rPr>
          <w:rFonts w:ascii="Arial" w:hAnsi="Arial" w:cs="Arial"/>
          <w:color w:val="000000" w:themeColor="text1"/>
          <w:sz w:val="24"/>
          <w:szCs w:val="24"/>
        </w:rPr>
        <w:t xml:space="preserve">con fundamento en los artículos 18, 30 fracción V; así como el 35 fracción I de la Constitución Política del Estado de Yucatán; 3, 16 y 22 fracción VI de la Ley de Gobierno del Poder Legislativo del Estado de Yucatán; 3 fracción XI, 68 y 69 del Reglamento de la Ley de Gobierno del Poder Legislativo del Estado de Yucatán, </w:t>
      </w:r>
      <w:r w:rsidRPr="00683375">
        <w:rPr>
          <w:rFonts w:ascii="Arial" w:hAnsi="Arial" w:cs="Arial"/>
          <w:color w:val="000000" w:themeColor="text1"/>
          <w:sz w:val="24"/>
          <w:szCs w:val="24"/>
        </w:rPr>
        <w:t xml:space="preserve"> </w:t>
      </w:r>
      <w:r w:rsidR="00B60770" w:rsidRPr="00683375">
        <w:rPr>
          <w:rFonts w:ascii="Arial" w:hAnsi="Arial" w:cs="Arial"/>
          <w:color w:val="000000"/>
          <w:sz w:val="24"/>
          <w:szCs w:val="24"/>
        </w:rPr>
        <w:t xml:space="preserve">sometemos a consideración de esta Soberanía la iniciativa con proyecto </w:t>
      </w:r>
      <w:r w:rsidRPr="00683375">
        <w:rPr>
          <w:rFonts w:ascii="Arial" w:hAnsi="Arial" w:cs="Arial"/>
          <w:color w:val="000000"/>
          <w:sz w:val="24"/>
          <w:szCs w:val="24"/>
        </w:rPr>
        <w:t xml:space="preserve">decreto por el </w:t>
      </w:r>
      <w:r w:rsidR="0011325B" w:rsidRPr="00683375">
        <w:rPr>
          <w:rFonts w:ascii="Arial" w:hAnsi="Arial" w:cs="Arial"/>
          <w:color w:val="000000"/>
          <w:sz w:val="24"/>
          <w:szCs w:val="24"/>
        </w:rPr>
        <w:t>que se reforma</w:t>
      </w:r>
      <w:r w:rsidR="00202499" w:rsidRPr="00683375">
        <w:rPr>
          <w:rFonts w:ascii="Arial" w:hAnsi="Arial" w:cs="Arial"/>
          <w:color w:val="000000"/>
          <w:sz w:val="24"/>
          <w:szCs w:val="24"/>
        </w:rPr>
        <w:t xml:space="preserve"> </w:t>
      </w:r>
      <w:r w:rsidR="0011325B" w:rsidRPr="00683375">
        <w:rPr>
          <w:rFonts w:ascii="Arial" w:hAnsi="Arial" w:cs="Arial"/>
          <w:color w:val="000000"/>
          <w:sz w:val="24"/>
          <w:szCs w:val="24"/>
        </w:rPr>
        <w:t xml:space="preserve"> </w:t>
      </w:r>
      <w:r w:rsidR="005D1C99" w:rsidRPr="00683375">
        <w:rPr>
          <w:rFonts w:ascii="Arial" w:eastAsia="Times New Roman" w:hAnsi="Arial" w:cs="Arial"/>
          <w:b/>
          <w:bCs/>
          <w:sz w:val="24"/>
          <w:szCs w:val="24"/>
          <w:lang w:eastAsia="es-MX"/>
        </w:rPr>
        <w:t>el</w:t>
      </w:r>
      <w:r w:rsidR="00BB0449" w:rsidRPr="00683375">
        <w:rPr>
          <w:rFonts w:ascii="Arial" w:eastAsia="Times New Roman" w:hAnsi="Arial" w:cs="Arial"/>
          <w:b/>
          <w:bCs/>
          <w:sz w:val="24"/>
          <w:szCs w:val="24"/>
          <w:lang w:eastAsia="es-MX"/>
        </w:rPr>
        <w:t xml:space="preserve"> Código Penal del Estado de Yucatán</w:t>
      </w:r>
      <w:r w:rsidR="00202499" w:rsidRPr="00683375">
        <w:rPr>
          <w:rFonts w:ascii="Arial" w:eastAsia="Times New Roman" w:hAnsi="Arial" w:cs="Arial"/>
          <w:b/>
          <w:bCs/>
          <w:sz w:val="24"/>
          <w:szCs w:val="24"/>
          <w:lang w:eastAsia="es-MX"/>
        </w:rPr>
        <w:t xml:space="preserve"> en materia de Transhomicidio</w:t>
      </w:r>
      <w:r w:rsidR="00BB0449" w:rsidRPr="00683375">
        <w:rPr>
          <w:rFonts w:ascii="Arial" w:eastAsia="Times New Roman" w:hAnsi="Arial" w:cs="Arial"/>
          <w:b/>
          <w:bCs/>
          <w:sz w:val="24"/>
          <w:szCs w:val="24"/>
          <w:lang w:eastAsia="es-MX"/>
        </w:rPr>
        <w:t>.</w:t>
      </w:r>
    </w:p>
    <w:p w:rsidR="005D1C99" w:rsidRPr="00683375" w:rsidRDefault="005D1C99" w:rsidP="00C91B54">
      <w:pPr>
        <w:spacing w:line="360" w:lineRule="auto"/>
        <w:jc w:val="both"/>
        <w:rPr>
          <w:rFonts w:ascii="Arial" w:hAnsi="Arial" w:cs="Arial"/>
          <w:color w:val="000000"/>
          <w:sz w:val="24"/>
          <w:szCs w:val="24"/>
        </w:rPr>
      </w:pPr>
    </w:p>
    <w:p w:rsidR="008210A8" w:rsidRPr="00683375" w:rsidRDefault="008210A8" w:rsidP="00C91B54">
      <w:pPr>
        <w:spacing w:line="360" w:lineRule="auto"/>
        <w:jc w:val="center"/>
        <w:rPr>
          <w:rFonts w:ascii="Arial" w:hAnsi="Arial" w:cs="Arial"/>
          <w:b/>
          <w:bCs/>
          <w:spacing w:val="60"/>
          <w:sz w:val="24"/>
          <w:szCs w:val="24"/>
        </w:rPr>
      </w:pPr>
      <w:r w:rsidRPr="00683375">
        <w:rPr>
          <w:rFonts w:ascii="Arial" w:hAnsi="Arial" w:cs="Arial"/>
          <w:b/>
          <w:bCs/>
          <w:spacing w:val="60"/>
          <w:sz w:val="24"/>
          <w:szCs w:val="24"/>
        </w:rPr>
        <w:t>DECRET</w:t>
      </w:r>
      <w:r w:rsidR="00A1402B" w:rsidRPr="00683375">
        <w:rPr>
          <w:rFonts w:ascii="Arial" w:hAnsi="Arial" w:cs="Arial"/>
          <w:b/>
          <w:bCs/>
          <w:spacing w:val="60"/>
          <w:sz w:val="24"/>
          <w:szCs w:val="24"/>
        </w:rPr>
        <w:t>O</w:t>
      </w:r>
    </w:p>
    <w:p w:rsidR="00125D1D" w:rsidRPr="00683375" w:rsidRDefault="00C22F9A" w:rsidP="00C91B54">
      <w:pPr>
        <w:spacing w:line="360" w:lineRule="auto"/>
        <w:jc w:val="both"/>
        <w:rPr>
          <w:rFonts w:ascii="Arial" w:hAnsi="Arial" w:cs="Arial"/>
          <w:b/>
          <w:bCs/>
          <w:spacing w:val="60"/>
          <w:sz w:val="24"/>
          <w:szCs w:val="24"/>
        </w:rPr>
      </w:pPr>
      <w:r w:rsidRPr="00683375">
        <w:rPr>
          <w:rFonts w:ascii="Arial" w:hAnsi="Arial" w:cs="Arial"/>
          <w:b/>
          <w:bCs/>
          <w:spacing w:val="60"/>
          <w:sz w:val="24"/>
          <w:szCs w:val="24"/>
        </w:rPr>
        <w:t xml:space="preserve">ARTÍCULO </w:t>
      </w:r>
      <w:r w:rsidR="002972D3" w:rsidRPr="00683375">
        <w:rPr>
          <w:rFonts w:ascii="Arial" w:hAnsi="Arial" w:cs="Arial"/>
          <w:b/>
          <w:bCs/>
          <w:spacing w:val="60"/>
          <w:sz w:val="24"/>
          <w:szCs w:val="24"/>
        </w:rPr>
        <w:t>UNICO. -</w:t>
      </w:r>
      <w:r w:rsidRPr="00683375">
        <w:rPr>
          <w:rFonts w:ascii="Arial" w:hAnsi="Arial" w:cs="Arial"/>
          <w:b/>
          <w:bCs/>
          <w:spacing w:val="60"/>
          <w:sz w:val="24"/>
          <w:szCs w:val="24"/>
        </w:rPr>
        <w:t xml:space="preserve"> </w:t>
      </w:r>
      <w:r w:rsidR="00202499" w:rsidRPr="00683375">
        <w:rPr>
          <w:rFonts w:ascii="Arial" w:hAnsi="Arial" w:cs="Arial"/>
          <w:b/>
          <w:bCs/>
          <w:sz w:val="24"/>
          <w:szCs w:val="24"/>
        </w:rPr>
        <w:t>Se</w:t>
      </w:r>
      <w:r w:rsidR="00202499" w:rsidRPr="00683375">
        <w:rPr>
          <w:rFonts w:ascii="Arial" w:hAnsi="Arial" w:cs="Arial"/>
          <w:color w:val="000000"/>
          <w:sz w:val="24"/>
          <w:szCs w:val="24"/>
        </w:rPr>
        <w:t xml:space="preserve"> </w:t>
      </w:r>
      <w:r w:rsidR="00202499" w:rsidRPr="00683375">
        <w:rPr>
          <w:rFonts w:ascii="Arial" w:hAnsi="Arial" w:cs="Arial"/>
          <w:b/>
          <w:bCs/>
          <w:color w:val="000000"/>
          <w:sz w:val="24"/>
          <w:szCs w:val="24"/>
        </w:rPr>
        <w:t>reforman el</w:t>
      </w:r>
      <w:r w:rsidR="00202499" w:rsidRPr="00683375">
        <w:rPr>
          <w:rFonts w:ascii="Arial" w:hAnsi="Arial" w:cs="Arial"/>
          <w:color w:val="000000"/>
          <w:sz w:val="24"/>
          <w:szCs w:val="24"/>
        </w:rPr>
        <w:t xml:space="preserve"> </w:t>
      </w:r>
      <w:r w:rsidR="00202499" w:rsidRPr="00683375">
        <w:rPr>
          <w:rFonts w:ascii="Arial" w:hAnsi="Arial" w:cs="Arial"/>
          <w:b/>
          <w:bCs/>
          <w:sz w:val="24"/>
          <w:szCs w:val="24"/>
        </w:rPr>
        <w:t>a</w:t>
      </w:r>
      <w:r w:rsidR="00202499" w:rsidRPr="00683375">
        <w:rPr>
          <w:rFonts w:ascii="Arial" w:eastAsia="Times New Roman" w:hAnsi="Arial" w:cs="Arial"/>
          <w:b/>
          <w:bCs/>
          <w:sz w:val="24"/>
          <w:szCs w:val="24"/>
          <w:lang w:eastAsia="es-MX"/>
        </w:rPr>
        <w:t>rtículos 13, se adicionan los párrafos tercero y cuarto al artículo 34, se adiciona la fracción XI del artículo 394 y se crea el capítulo XII. Transhomicidio</w:t>
      </w:r>
      <w:r w:rsidR="00AE21FD" w:rsidRPr="00683375">
        <w:rPr>
          <w:rFonts w:ascii="Arial" w:eastAsia="Times New Roman" w:hAnsi="Arial" w:cs="Arial"/>
          <w:b/>
          <w:bCs/>
          <w:sz w:val="24"/>
          <w:szCs w:val="24"/>
          <w:lang w:eastAsia="es-MX"/>
        </w:rPr>
        <w:t xml:space="preserve"> adicionando los artículos</w:t>
      </w:r>
      <w:r w:rsidR="00202499" w:rsidRPr="00683375">
        <w:rPr>
          <w:rFonts w:ascii="Arial" w:eastAsia="Times New Roman" w:hAnsi="Arial" w:cs="Arial"/>
          <w:b/>
          <w:bCs/>
          <w:sz w:val="24"/>
          <w:szCs w:val="24"/>
          <w:lang w:eastAsia="es-MX"/>
        </w:rPr>
        <w:t xml:space="preserve"> 394 Octies, 394 Nonies, 394 Decies y</w:t>
      </w:r>
      <w:r w:rsidR="00AE21FD" w:rsidRPr="00683375">
        <w:rPr>
          <w:rFonts w:ascii="Arial" w:eastAsia="Times New Roman" w:hAnsi="Arial" w:cs="Arial"/>
          <w:b/>
          <w:bCs/>
          <w:sz w:val="24"/>
          <w:szCs w:val="24"/>
          <w:lang w:eastAsia="es-MX"/>
        </w:rPr>
        <w:t xml:space="preserve"> </w:t>
      </w:r>
      <w:r w:rsidR="00202499" w:rsidRPr="00683375">
        <w:rPr>
          <w:rFonts w:ascii="Arial" w:eastAsia="Times New Roman" w:hAnsi="Arial" w:cs="Arial"/>
          <w:b/>
          <w:bCs/>
          <w:sz w:val="24"/>
          <w:szCs w:val="24"/>
          <w:lang w:eastAsia="es-MX"/>
        </w:rPr>
        <w:t>394 Undecies, todos d</w:t>
      </w:r>
      <w:r w:rsidR="005D1C99" w:rsidRPr="00683375">
        <w:rPr>
          <w:rFonts w:ascii="Arial" w:eastAsia="Times New Roman" w:hAnsi="Arial" w:cs="Arial"/>
          <w:b/>
          <w:bCs/>
          <w:sz w:val="24"/>
          <w:szCs w:val="24"/>
          <w:lang w:eastAsia="es-MX"/>
        </w:rPr>
        <w:t xml:space="preserve">el </w:t>
      </w:r>
      <w:r w:rsidR="00BB0449" w:rsidRPr="00683375">
        <w:rPr>
          <w:rFonts w:ascii="Arial" w:eastAsia="Times New Roman" w:hAnsi="Arial" w:cs="Arial"/>
          <w:b/>
          <w:bCs/>
          <w:sz w:val="24"/>
          <w:szCs w:val="24"/>
          <w:lang w:eastAsia="es-MX"/>
        </w:rPr>
        <w:t>Código Penal del Estado de Yucatán</w:t>
      </w:r>
      <w:r w:rsidR="00BB0449" w:rsidRPr="00683375">
        <w:rPr>
          <w:rFonts w:ascii="Arial" w:hAnsi="Arial" w:cs="Arial"/>
          <w:color w:val="000000"/>
          <w:sz w:val="24"/>
          <w:szCs w:val="24"/>
        </w:rPr>
        <w:t xml:space="preserve"> </w:t>
      </w:r>
      <w:r w:rsidRPr="00683375">
        <w:rPr>
          <w:rFonts w:ascii="Arial" w:hAnsi="Arial" w:cs="Arial"/>
          <w:color w:val="000000"/>
          <w:sz w:val="24"/>
          <w:szCs w:val="24"/>
        </w:rPr>
        <w:t>para quedar como sigue</w:t>
      </w:r>
      <w:r w:rsidR="001C7CAD" w:rsidRPr="00683375">
        <w:rPr>
          <w:rFonts w:ascii="Arial" w:hAnsi="Arial" w:cs="Arial"/>
          <w:b/>
          <w:bCs/>
          <w:spacing w:val="60"/>
          <w:sz w:val="24"/>
          <w:szCs w:val="24"/>
        </w:rPr>
        <w:t>:</w:t>
      </w:r>
    </w:p>
    <w:p w:rsidR="00125D1D" w:rsidRPr="00683375" w:rsidRDefault="00017B10" w:rsidP="00125D1D">
      <w:pPr>
        <w:jc w:val="both"/>
        <w:rPr>
          <w:rFonts w:ascii="Arial" w:hAnsi="Arial" w:cs="Arial"/>
          <w:b/>
          <w:bCs/>
          <w:sz w:val="24"/>
          <w:szCs w:val="24"/>
        </w:rPr>
      </w:pPr>
      <w:r w:rsidRPr="00683375">
        <w:rPr>
          <w:rFonts w:ascii="Arial" w:hAnsi="Arial" w:cs="Arial"/>
          <w:b/>
          <w:bCs/>
          <w:sz w:val="24"/>
          <w:szCs w:val="24"/>
        </w:rPr>
        <w:t>Artículo</w:t>
      </w:r>
      <w:r w:rsidR="00125D1D" w:rsidRPr="00683375">
        <w:rPr>
          <w:rFonts w:ascii="Arial" w:hAnsi="Arial" w:cs="Arial"/>
          <w:b/>
          <w:bCs/>
          <w:sz w:val="24"/>
          <w:szCs w:val="24"/>
        </w:rPr>
        <w:t xml:space="preserve"> 13; párrafo primero.</w:t>
      </w:r>
    </w:p>
    <w:p w:rsidR="00125D1D" w:rsidRPr="00683375" w:rsidRDefault="00125D1D" w:rsidP="00125D1D">
      <w:pPr>
        <w:jc w:val="both"/>
        <w:rPr>
          <w:rFonts w:ascii="Arial" w:hAnsi="Arial" w:cs="Arial"/>
          <w:b/>
          <w:bCs/>
          <w:sz w:val="24"/>
          <w:szCs w:val="24"/>
          <w:u w:val="single"/>
        </w:rPr>
      </w:pPr>
      <w:r w:rsidRPr="00683375">
        <w:rPr>
          <w:rFonts w:ascii="Arial" w:hAnsi="Arial" w:cs="Arial"/>
          <w:sz w:val="24"/>
          <w:szCs w:val="24"/>
        </w:rPr>
        <w:t>Para todos los efectos legales, por afectar de manera importante valores fundamentales de la sociedad, se califican como delitos graves los siguientes: contra el orden constitucional, previsto por el artículo 137; rebelión, previsto por el artículo 139; evasión de presos, previsto por el artículo 153; corrupción de menores e incapaces, previsto por el artículo 208; trata de menores, previsto por el artículo 210; pornografía infantil, previsto por el artículo 211; incesto, previsto por el artículo 227; allanamiento de morada con violencia, previsto en el segundo párrafo del artículo 236; asalto, previsto por los artículos 237, 239 y 240; privación ilegal de la libertad, previsto por los artículos 241 fracción I y 242; tortura, previsto en la Ley General para Prevenir, Investigar y Sancionar la Tortura y Otros Tratos o Penas Crueles, Inhumanos o Degradantes; falsificación de documentos, previsto en el artículo 284-bis; abuso sexual previsto en los artículos 309 y 310; violación, previsto por el artículo 313; violación equiparada, definido por el artículo 315; robo calificado previsto en la fracción I del artículo 335, independientemente del importe de lo robado; así como en las demás fracciones del mismo artículo cuando el importe sea el establecido en las fracciones III o IV del numeral 333; robo con violencia previsto en el artículo 330, en relación con el 336; robo relacionado con vehículo automotor, previsto en el artículo 338, fracciones I, II, IV y VI; robo de ganado mayor, previsto por el artículo 339, a partir de dos piezas; robo de ganado menor, previsto por el artículo 340, cuando el importe de lo robado sea el establecido en la fracción IV del artículo 333; las conductas previstas en el artículo 347; daño en propiedad ajena por incendio o explosión previsto por los artículos 348 y 349; lesiones, previsto por los artículos 360, 361, 362 y 363; homicidio doloso, previsto por el artículo 368, en relación con el 372, 378, 384 y 385; homicidio en razón del parentesco o relación, previsto en el artículo 394, feminicidio, previsto en el artículo 394 Quinquies</w:t>
      </w:r>
      <w:r w:rsidR="00621147" w:rsidRPr="00683375">
        <w:rPr>
          <w:rFonts w:ascii="Arial" w:hAnsi="Arial" w:cs="Arial"/>
          <w:sz w:val="24"/>
          <w:szCs w:val="24"/>
        </w:rPr>
        <w:t xml:space="preserve">, </w:t>
      </w:r>
      <w:r w:rsidR="00A35002" w:rsidRPr="00683375">
        <w:rPr>
          <w:rFonts w:ascii="Arial" w:hAnsi="Arial" w:cs="Arial"/>
          <w:b/>
          <w:bCs/>
          <w:sz w:val="24"/>
          <w:szCs w:val="24"/>
          <w:u w:val="single"/>
        </w:rPr>
        <w:t>transhomicidio</w:t>
      </w:r>
      <w:r w:rsidRPr="00683375">
        <w:rPr>
          <w:rFonts w:ascii="Arial" w:hAnsi="Arial" w:cs="Arial"/>
          <w:b/>
          <w:bCs/>
          <w:sz w:val="24"/>
          <w:szCs w:val="24"/>
          <w:u w:val="single"/>
        </w:rPr>
        <w:t>, previsto en el artículo 394 Octies</w:t>
      </w:r>
      <w:r w:rsidR="00A35002" w:rsidRPr="00683375">
        <w:rPr>
          <w:rFonts w:ascii="Arial" w:hAnsi="Arial" w:cs="Arial"/>
          <w:b/>
          <w:bCs/>
          <w:sz w:val="24"/>
          <w:szCs w:val="24"/>
          <w:u w:val="single"/>
        </w:rPr>
        <w:t>.</w:t>
      </w:r>
    </w:p>
    <w:p w:rsidR="00AE376B" w:rsidRPr="00683375" w:rsidRDefault="00AE376B" w:rsidP="00125D1D">
      <w:pPr>
        <w:jc w:val="both"/>
        <w:rPr>
          <w:rFonts w:ascii="Arial" w:hAnsi="Arial" w:cs="Arial"/>
          <w:sz w:val="24"/>
          <w:szCs w:val="24"/>
        </w:rPr>
      </w:pPr>
    </w:p>
    <w:p w:rsidR="00125D1D" w:rsidRPr="00683375" w:rsidRDefault="00125D1D" w:rsidP="00125D1D">
      <w:pPr>
        <w:jc w:val="both"/>
        <w:rPr>
          <w:rFonts w:ascii="Arial" w:hAnsi="Arial" w:cs="Arial"/>
          <w:b/>
          <w:bCs/>
          <w:sz w:val="24"/>
          <w:szCs w:val="24"/>
        </w:rPr>
      </w:pPr>
      <w:r w:rsidRPr="00683375">
        <w:rPr>
          <w:rFonts w:ascii="Arial" w:hAnsi="Arial" w:cs="Arial"/>
          <w:b/>
          <w:bCs/>
          <w:sz w:val="24"/>
          <w:szCs w:val="24"/>
        </w:rPr>
        <w:t xml:space="preserve">Articulo 34; </w:t>
      </w:r>
      <w:r w:rsidR="0064152F" w:rsidRPr="00683375">
        <w:rPr>
          <w:rFonts w:ascii="Arial" w:hAnsi="Arial" w:cs="Arial"/>
          <w:b/>
          <w:bCs/>
          <w:sz w:val="24"/>
          <w:szCs w:val="24"/>
        </w:rPr>
        <w:t>(…)</w:t>
      </w:r>
    </w:p>
    <w:p w:rsidR="0064152F" w:rsidRPr="00683375" w:rsidRDefault="0064152F" w:rsidP="00125D1D">
      <w:pPr>
        <w:jc w:val="both"/>
        <w:rPr>
          <w:rFonts w:ascii="Arial" w:hAnsi="Arial" w:cs="Arial"/>
          <w:b/>
          <w:bCs/>
          <w:sz w:val="24"/>
          <w:szCs w:val="24"/>
        </w:rPr>
      </w:pPr>
      <w:r w:rsidRPr="00683375">
        <w:rPr>
          <w:rFonts w:ascii="Arial" w:hAnsi="Arial" w:cs="Arial"/>
          <w:b/>
          <w:bCs/>
          <w:sz w:val="24"/>
          <w:szCs w:val="24"/>
        </w:rPr>
        <w:t>(…)</w:t>
      </w:r>
    </w:p>
    <w:p w:rsidR="00125D1D" w:rsidRPr="00683375" w:rsidRDefault="00125D1D" w:rsidP="00125D1D">
      <w:pPr>
        <w:jc w:val="both"/>
        <w:rPr>
          <w:rFonts w:ascii="Arial" w:hAnsi="Arial" w:cs="Arial"/>
          <w:sz w:val="24"/>
          <w:szCs w:val="24"/>
        </w:rPr>
      </w:pPr>
      <w:r w:rsidRPr="00683375">
        <w:rPr>
          <w:rFonts w:ascii="Arial" w:hAnsi="Arial" w:cs="Arial"/>
          <w:sz w:val="24"/>
          <w:szCs w:val="24"/>
        </w:rPr>
        <w:t>En los casos de homicidio</w:t>
      </w:r>
      <w:r w:rsidR="00055852" w:rsidRPr="00683375">
        <w:rPr>
          <w:rFonts w:ascii="Arial" w:hAnsi="Arial" w:cs="Arial"/>
          <w:sz w:val="24"/>
          <w:szCs w:val="24"/>
        </w:rPr>
        <w:t>,</w:t>
      </w:r>
      <w:r w:rsidRPr="00683375">
        <w:rPr>
          <w:rFonts w:ascii="Arial" w:hAnsi="Arial" w:cs="Arial"/>
          <w:sz w:val="24"/>
          <w:szCs w:val="24"/>
        </w:rPr>
        <w:t xml:space="preserve"> feminicidio</w:t>
      </w:r>
      <w:r w:rsidR="001D346C" w:rsidRPr="00683375">
        <w:rPr>
          <w:rFonts w:ascii="Arial" w:hAnsi="Arial" w:cs="Arial"/>
          <w:b/>
          <w:bCs/>
          <w:sz w:val="24"/>
          <w:szCs w:val="24"/>
          <w:u w:val="single"/>
        </w:rPr>
        <w:t>,</w:t>
      </w:r>
      <w:r w:rsidR="001F4528" w:rsidRPr="00683375">
        <w:rPr>
          <w:rFonts w:ascii="Arial" w:hAnsi="Arial" w:cs="Arial"/>
          <w:b/>
          <w:bCs/>
          <w:sz w:val="24"/>
          <w:szCs w:val="24"/>
          <w:u w:val="single"/>
        </w:rPr>
        <w:t xml:space="preserve"> </w:t>
      </w:r>
      <w:r w:rsidR="00A35002" w:rsidRPr="00683375">
        <w:rPr>
          <w:rFonts w:ascii="Arial" w:hAnsi="Arial" w:cs="Arial"/>
          <w:b/>
          <w:bCs/>
          <w:sz w:val="24"/>
          <w:szCs w:val="24"/>
          <w:u w:val="single"/>
        </w:rPr>
        <w:t>transhomicidio</w:t>
      </w:r>
      <w:r w:rsidRPr="00683375">
        <w:rPr>
          <w:rFonts w:ascii="Arial" w:hAnsi="Arial" w:cs="Arial"/>
          <w:sz w:val="24"/>
          <w:szCs w:val="24"/>
        </w:rPr>
        <w:t>, la indemnización correspondiente se fijará en los mismos términos establecidos en el párrafo que antecede, y de acuerdo con lo dispuesto en el Libro Tercero, Título Primero, Capítulo V, del Código Civil vigente en el Estado, que se refiere a las obligaciones que nacen de los actos ilícitos.</w:t>
      </w:r>
    </w:p>
    <w:p w:rsidR="001B24B6" w:rsidRPr="00683375" w:rsidRDefault="00B06F3B" w:rsidP="00125D1D">
      <w:pPr>
        <w:jc w:val="both"/>
        <w:rPr>
          <w:rFonts w:ascii="Arial" w:hAnsi="Arial" w:cs="Arial"/>
          <w:sz w:val="24"/>
          <w:szCs w:val="24"/>
        </w:rPr>
      </w:pPr>
      <w:r w:rsidRPr="00683375">
        <w:rPr>
          <w:rFonts w:ascii="Arial" w:hAnsi="Arial" w:cs="Arial"/>
          <w:sz w:val="24"/>
          <w:szCs w:val="24"/>
        </w:rPr>
        <w:t xml:space="preserve">En el caso del delito de feminicidio </w:t>
      </w:r>
      <w:r w:rsidRPr="00683375">
        <w:rPr>
          <w:rFonts w:ascii="Arial" w:hAnsi="Arial" w:cs="Arial"/>
          <w:b/>
          <w:bCs/>
          <w:sz w:val="24"/>
          <w:szCs w:val="24"/>
          <w:u w:val="single"/>
        </w:rPr>
        <w:t>y transhomicidio</w:t>
      </w:r>
      <w:r w:rsidRPr="00683375">
        <w:rPr>
          <w:rFonts w:ascii="Arial" w:hAnsi="Arial" w:cs="Arial"/>
          <w:sz w:val="24"/>
          <w:szCs w:val="24"/>
        </w:rPr>
        <w:t>, cuando exista una relación de parentesco</w:t>
      </w:r>
      <w:r w:rsidRPr="00683375">
        <w:rPr>
          <w:rFonts w:ascii="Arial" w:hAnsi="Arial" w:cs="Arial"/>
        </w:rPr>
        <w:t xml:space="preserve"> </w:t>
      </w:r>
      <w:r w:rsidRPr="00683375">
        <w:rPr>
          <w:rFonts w:ascii="Arial" w:hAnsi="Arial" w:cs="Arial"/>
          <w:sz w:val="24"/>
          <w:szCs w:val="24"/>
        </w:rPr>
        <w:t>por consanguinidad en línea recta, sin limitación de grado, colateral, hasta el cuarto grado, o por afinidad, hasta el cuarto grado; o bien, una relación laboral, docente o sentimental entre el sujeto y la víctima o las personas ofendidas del delito, la indemnización que fije la autoridad judicial deberá incrementarse en una mitad, según la cuantificación realizada.</w:t>
      </w:r>
    </w:p>
    <w:p w:rsidR="00AE376B" w:rsidRDefault="00AE376B" w:rsidP="00125D1D">
      <w:pPr>
        <w:jc w:val="both"/>
        <w:rPr>
          <w:rFonts w:ascii="Arial" w:hAnsi="Arial" w:cs="Arial"/>
          <w:sz w:val="24"/>
          <w:szCs w:val="24"/>
        </w:rPr>
      </w:pPr>
    </w:p>
    <w:p w:rsidR="00683375" w:rsidRPr="00683375" w:rsidRDefault="00683375" w:rsidP="00125D1D">
      <w:pPr>
        <w:jc w:val="both"/>
        <w:rPr>
          <w:rFonts w:ascii="Arial" w:hAnsi="Arial" w:cs="Arial"/>
          <w:sz w:val="24"/>
          <w:szCs w:val="24"/>
        </w:rPr>
      </w:pPr>
    </w:p>
    <w:p w:rsidR="0064152F" w:rsidRDefault="001B24B6" w:rsidP="00125D1D">
      <w:pPr>
        <w:jc w:val="both"/>
        <w:rPr>
          <w:rFonts w:ascii="Arial" w:hAnsi="Arial" w:cs="Arial"/>
          <w:b/>
          <w:bCs/>
          <w:sz w:val="24"/>
          <w:szCs w:val="24"/>
        </w:rPr>
      </w:pPr>
      <w:bookmarkStart w:id="1" w:name="_Hlk211038622"/>
      <w:r w:rsidRPr="00683375">
        <w:rPr>
          <w:rFonts w:ascii="Arial" w:hAnsi="Arial" w:cs="Arial"/>
          <w:b/>
          <w:bCs/>
          <w:sz w:val="24"/>
          <w:szCs w:val="24"/>
        </w:rPr>
        <w:t>Articulo 394</w:t>
      </w:r>
      <w:r w:rsidR="00DC4D72" w:rsidRPr="00683375">
        <w:rPr>
          <w:rFonts w:ascii="Arial" w:hAnsi="Arial" w:cs="Arial"/>
          <w:b/>
          <w:bCs/>
          <w:sz w:val="24"/>
          <w:szCs w:val="24"/>
        </w:rPr>
        <w:t xml:space="preserve"> </w:t>
      </w:r>
      <w:r w:rsidR="00AE21FD" w:rsidRPr="00683375">
        <w:rPr>
          <w:rFonts w:ascii="Arial" w:hAnsi="Arial" w:cs="Arial"/>
          <w:b/>
          <w:bCs/>
          <w:sz w:val="24"/>
          <w:szCs w:val="24"/>
        </w:rPr>
        <w:t>Quinquies</w:t>
      </w:r>
      <w:r w:rsidRPr="00683375">
        <w:rPr>
          <w:rFonts w:ascii="Arial" w:hAnsi="Arial" w:cs="Arial"/>
          <w:b/>
          <w:bCs/>
          <w:sz w:val="24"/>
          <w:szCs w:val="24"/>
        </w:rPr>
        <w:t xml:space="preserve">; </w:t>
      </w:r>
      <w:r w:rsidR="0064152F" w:rsidRPr="00683375">
        <w:rPr>
          <w:rFonts w:ascii="Arial" w:hAnsi="Arial" w:cs="Arial"/>
          <w:b/>
          <w:bCs/>
          <w:sz w:val="24"/>
          <w:szCs w:val="24"/>
        </w:rPr>
        <w:t>(…)</w:t>
      </w:r>
    </w:p>
    <w:p w:rsidR="00683375" w:rsidRPr="00683375" w:rsidRDefault="00683375" w:rsidP="00125D1D">
      <w:pPr>
        <w:jc w:val="both"/>
        <w:rPr>
          <w:rFonts w:ascii="Arial" w:hAnsi="Arial" w:cs="Arial"/>
          <w:b/>
          <w:bCs/>
          <w:sz w:val="24"/>
          <w:szCs w:val="24"/>
        </w:rPr>
      </w:pPr>
    </w:p>
    <w:p w:rsidR="00125D1D" w:rsidRPr="00683375" w:rsidRDefault="0064152F" w:rsidP="00125D1D">
      <w:pPr>
        <w:jc w:val="both"/>
        <w:rPr>
          <w:rFonts w:ascii="Arial" w:hAnsi="Arial" w:cs="Arial"/>
          <w:b/>
          <w:bCs/>
          <w:sz w:val="24"/>
          <w:szCs w:val="24"/>
        </w:rPr>
      </w:pPr>
      <w:r w:rsidRPr="00683375">
        <w:rPr>
          <w:rFonts w:ascii="Arial" w:hAnsi="Arial" w:cs="Arial"/>
          <w:b/>
          <w:bCs/>
          <w:sz w:val="24"/>
          <w:szCs w:val="24"/>
        </w:rPr>
        <w:t>Fracciones I a</w:t>
      </w:r>
      <w:r w:rsidR="001B24B6" w:rsidRPr="00683375">
        <w:rPr>
          <w:rFonts w:ascii="Arial" w:hAnsi="Arial" w:cs="Arial"/>
          <w:b/>
          <w:bCs/>
          <w:sz w:val="24"/>
          <w:szCs w:val="24"/>
        </w:rPr>
        <w:t xml:space="preserve"> X.</w:t>
      </w:r>
    </w:p>
    <w:bookmarkEnd w:id="1"/>
    <w:p w:rsidR="00125D1D" w:rsidRPr="00683375" w:rsidRDefault="00125D1D" w:rsidP="00125D1D">
      <w:pPr>
        <w:jc w:val="both"/>
        <w:rPr>
          <w:rFonts w:ascii="Arial" w:hAnsi="Arial" w:cs="Arial"/>
          <w:sz w:val="24"/>
          <w:szCs w:val="24"/>
        </w:rPr>
      </w:pPr>
      <w:r w:rsidRPr="00683375">
        <w:rPr>
          <w:rFonts w:ascii="Arial" w:hAnsi="Arial" w:cs="Arial"/>
          <w:sz w:val="24"/>
          <w:szCs w:val="24"/>
        </w:rPr>
        <w:t xml:space="preserve">XI.- </w:t>
      </w:r>
      <w:r w:rsidR="00E654DF" w:rsidRPr="00683375">
        <w:rPr>
          <w:rFonts w:ascii="Arial" w:hAnsi="Arial" w:cs="Arial"/>
          <w:sz w:val="24"/>
          <w:szCs w:val="24"/>
        </w:rPr>
        <w:t xml:space="preserve">Que el sujeto activo haya obligado a la víctima a realizar o ejercer </w:t>
      </w:r>
      <w:r w:rsidR="009679C5" w:rsidRPr="00683375">
        <w:rPr>
          <w:rFonts w:ascii="Arial" w:hAnsi="Arial" w:cs="Arial"/>
          <w:b/>
          <w:bCs/>
          <w:sz w:val="24"/>
          <w:szCs w:val="24"/>
          <w:u w:val="single"/>
        </w:rPr>
        <w:t>el trabajo sexual</w:t>
      </w:r>
      <w:r w:rsidR="00E654DF" w:rsidRPr="00683375">
        <w:rPr>
          <w:rFonts w:ascii="Arial" w:hAnsi="Arial" w:cs="Arial"/>
          <w:sz w:val="24"/>
          <w:szCs w:val="24"/>
        </w:rPr>
        <w:t xml:space="preserve">, o haya ejercido actos de trata de personas </w:t>
      </w:r>
      <w:r w:rsidR="00E654DF" w:rsidRPr="00683375">
        <w:rPr>
          <w:rFonts w:ascii="Arial" w:hAnsi="Arial" w:cs="Arial"/>
          <w:b/>
          <w:bCs/>
          <w:sz w:val="24"/>
          <w:szCs w:val="24"/>
          <w:u w:val="single"/>
        </w:rPr>
        <w:t>o cualquier tipo de explotación</w:t>
      </w:r>
      <w:r w:rsidR="00E654DF" w:rsidRPr="00683375">
        <w:rPr>
          <w:rFonts w:ascii="Arial" w:hAnsi="Arial" w:cs="Arial"/>
          <w:sz w:val="24"/>
          <w:szCs w:val="24"/>
        </w:rPr>
        <w:t xml:space="preserve"> en agravio de la víctima</w:t>
      </w:r>
      <w:r w:rsidR="00AE376B" w:rsidRPr="00683375">
        <w:rPr>
          <w:rFonts w:ascii="Arial" w:hAnsi="Arial" w:cs="Arial"/>
          <w:sz w:val="24"/>
          <w:szCs w:val="24"/>
        </w:rPr>
        <w:t>.</w:t>
      </w:r>
    </w:p>
    <w:p w:rsidR="00AE376B" w:rsidRPr="00683375" w:rsidRDefault="00AE376B" w:rsidP="00125D1D">
      <w:pPr>
        <w:jc w:val="both"/>
        <w:rPr>
          <w:rFonts w:ascii="Arial" w:hAnsi="Arial" w:cs="Arial"/>
          <w:b/>
          <w:bCs/>
          <w:sz w:val="24"/>
          <w:szCs w:val="24"/>
        </w:rPr>
      </w:pPr>
    </w:p>
    <w:p w:rsidR="00371F32" w:rsidRDefault="00125D1D" w:rsidP="00125D1D">
      <w:pPr>
        <w:jc w:val="center"/>
        <w:rPr>
          <w:rFonts w:ascii="Arial" w:hAnsi="Arial" w:cs="Arial"/>
          <w:b/>
          <w:bCs/>
          <w:sz w:val="24"/>
          <w:szCs w:val="24"/>
          <w:u w:val="single"/>
        </w:rPr>
      </w:pPr>
      <w:bookmarkStart w:id="2" w:name="_Hlk211038735"/>
      <w:r w:rsidRPr="00683375">
        <w:rPr>
          <w:rFonts w:ascii="Arial" w:hAnsi="Arial" w:cs="Arial"/>
          <w:b/>
          <w:bCs/>
          <w:sz w:val="24"/>
          <w:szCs w:val="24"/>
          <w:u w:val="single"/>
        </w:rPr>
        <w:t xml:space="preserve">Capítulo XII.- </w:t>
      </w:r>
      <w:r w:rsidR="00A35002" w:rsidRPr="00683375">
        <w:rPr>
          <w:rFonts w:ascii="Arial" w:hAnsi="Arial" w:cs="Arial"/>
          <w:b/>
          <w:bCs/>
          <w:sz w:val="24"/>
          <w:szCs w:val="24"/>
          <w:u w:val="single"/>
        </w:rPr>
        <w:t>Transhomicidio</w:t>
      </w:r>
    </w:p>
    <w:p w:rsidR="00683375" w:rsidRPr="00683375" w:rsidRDefault="00683375" w:rsidP="00125D1D">
      <w:pPr>
        <w:jc w:val="center"/>
        <w:rPr>
          <w:rFonts w:ascii="Arial" w:hAnsi="Arial" w:cs="Arial"/>
          <w:b/>
          <w:bCs/>
          <w:sz w:val="24"/>
          <w:szCs w:val="24"/>
          <w:u w:val="single"/>
        </w:rPr>
      </w:pPr>
    </w:p>
    <w:p w:rsidR="00125D1D" w:rsidRPr="00683375" w:rsidRDefault="00125D1D" w:rsidP="00125D1D">
      <w:pPr>
        <w:jc w:val="both"/>
        <w:rPr>
          <w:rFonts w:ascii="Arial" w:hAnsi="Arial" w:cs="Arial"/>
          <w:b/>
          <w:bCs/>
          <w:sz w:val="24"/>
          <w:szCs w:val="24"/>
        </w:rPr>
      </w:pPr>
      <w:r w:rsidRPr="00683375">
        <w:rPr>
          <w:rFonts w:ascii="Arial" w:hAnsi="Arial" w:cs="Arial"/>
          <w:b/>
          <w:bCs/>
          <w:sz w:val="24"/>
          <w:szCs w:val="24"/>
        </w:rPr>
        <w:t xml:space="preserve">Articulo 394 </w:t>
      </w:r>
      <w:r w:rsidR="00BD581A" w:rsidRPr="00683375">
        <w:rPr>
          <w:rFonts w:ascii="Arial" w:hAnsi="Arial" w:cs="Arial"/>
          <w:b/>
          <w:bCs/>
          <w:sz w:val="24"/>
          <w:szCs w:val="24"/>
        </w:rPr>
        <w:t>Octies</w:t>
      </w:r>
      <w:r w:rsidRPr="00683375">
        <w:rPr>
          <w:rFonts w:ascii="Arial" w:hAnsi="Arial" w:cs="Arial"/>
          <w:b/>
          <w:bCs/>
          <w:sz w:val="24"/>
          <w:szCs w:val="24"/>
        </w:rPr>
        <w:t>.- Comete el delito</w:t>
      </w:r>
      <w:r w:rsidR="00984A6E" w:rsidRPr="00683375">
        <w:rPr>
          <w:rFonts w:ascii="Arial" w:hAnsi="Arial" w:cs="Arial"/>
          <w:b/>
          <w:bCs/>
          <w:sz w:val="24"/>
          <w:szCs w:val="24"/>
        </w:rPr>
        <w:t xml:space="preserve"> de</w:t>
      </w:r>
      <w:r w:rsidRPr="00683375">
        <w:rPr>
          <w:rFonts w:ascii="Arial" w:hAnsi="Arial" w:cs="Arial"/>
          <w:b/>
          <w:bCs/>
          <w:sz w:val="24"/>
          <w:szCs w:val="24"/>
        </w:rPr>
        <w:t xml:space="preserve"> </w:t>
      </w:r>
      <w:r w:rsidR="00A35002" w:rsidRPr="00683375">
        <w:rPr>
          <w:rFonts w:ascii="Arial" w:hAnsi="Arial" w:cs="Arial"/>
          <w:b/>
          <w:bCs/>
          <w:sz w:val="24"/>
          <w:szCs w:val="24"/>
        </w:rPr>
        <w:t>transhomicidio</w:t>
      </w:r>
      <w:r w:rsidR="00371F32" w:rsidRPr="00683375">
        <w:rPr>
          <w:rFonts w:ascii="Arial" w:hAnsi="Arial" w:cs="Arial"/>
          <w:b/>
          <w:bCs/>
          <w:sz w:val="24"/>
          <w:szCs w:val="24"/>
        </w:rPr>
        <w:t xml:space="preserve"> </w:t>
      </w:r>
      <w:r w:rsidRPr="00683375">
        <w:rPr>
          <w:rFonts w:ascii="Arial" w:hAnsi="Arial" w:cs="Arial"/>
          <w:b/>
          <w:bCs/>
          <w:sz w:val="24"/>
          <w:szCs w:val="24"/>
        </w:rPr>
        <w:t xml:space="preserve">quien, con dolo y por razones de identidad, expresión de género o ambas, prive de la vida ejerciendo violencia </w:t>
      </w:r>
      <w:r w:rsidR="00A86421" w:rsidRPr="00683375">
        <w:rPr>
          <w:rFonts w:ascii="Arial" w:hAnsi="Arial" w:cs="Arial"/>
          <w:b/>
          <w:bCs/>
          <w:sz w:val="24"/>
          <w:szCs w:val="24"/>
        </w:rPr>
        <w:t>transfóbica</w:t>
      </w:r>
      <w:r w:rsidRPr="00683375">
        <w:rPr>
          <w:rFonts w:ascii="Arial" w:hAnsi="Arial" w:cs="Arial"/>
          <w:b/>
          <w:bCs/>
          <w:sz w:val="24"/>
          <w:szCs w:val="24"/>
        </w:rPr>
        <w:t xml:space="preserve"> a una </w:t>
      </w:r>
      <w:r w:rsidR="00A86421" w:rsidRPr="00683375">
        <w:rPr>
          <w:rFonts w:ascii="Arial" w:hAnsi="Arial" w:cs="Arial"/>
          <w:b/>
          <w:bCs/>
          <w:sz w:val="24"/>
          <w:szCs w:val="24"/>
        </w:rPr>
        <w:t>persona transgénero</w:t>
      </w:r>
      <w:r w:rsidR="007E230F" w:rsidRPr="00683375">
        <w:rPr>
          <w:rFonts w:ascii="Arial" w:hAnsi="Arial" w:cs="Arial"/>
          <w:b/>
          <w:bCs/>
          <w:sz w:val="24"/>
          <w:szCs w:val="24"/>
        </w:rPr>
        <w:t>.</w:t>
      </w:r>
    </w:p>
    <w:p w:rsidR="00A86421" w:rsidRPr="00683375" w:rsidRDefault="00A86421" w:rsidP="00125D1D">
      <w:pPr>
        <w:jc w:val="both"/>
        <w:rPr>
          <w:rFonts w:ascii="Arial" w:hAnsi="Arial" w:cs="Arial"/>
          <w:b/>
          <w:bCs/>
          <w:sz w:val="24"/>
          <w:szCs w:val="24"/>
        </w:rPr>
      </w:pPr>
    </w:p>
    <w:p w:rsidR="00F35C48" w:rsidRPr="00683375" w:rsidRDefault="00A86421" w:rsidP="00125D1D">
      <w:pPr>
        <w:jc w:val="both"/>
        <w:rPr>
          <w:rFonts w:ascii="Arial" w:hAnsi="Arial" w:cs="Arial"/>
          <w:b/>
          <w:bCs/>
          <w:sz w:val="24"/>
          <w:szCs w:val="24"/>
        </w:rPr>
      </w:pPr>
      <w:r w:rsidRPr="00683375">
        <w:rPr>
          <w:rFonts w:ascii="Arial" w:hAnsi="Arial" w:cs="Arial"/>
          <w:b/>
          <w:bCs/>
          <w:sz w:val="24"/>
          <w:szCs w:val="24"/>
        </w:rPr>
        <w:t>Articulo 39</w:t>
      </w:r>
      <w:r w:rsidR="00BD581A" w:rsidRPr="00683375">
        <w:rPr>
          <w:rFonts w:ascii="Arial" w:hAnsi="Arial" w:cs="Arial"/>
          <w:b/>
          <w:bCs/>
          <w:sz w:val="24"/>
          <w:szCs w:val="24"/>
        </w:rPr>
        <w:t>4 Nonies</w:t>
      </w:r>
      <w:r w:rsidRPr="00683375">
        <w:rPr>
          <w:rFonts w:ascii="Arial" w:hAnsi="Arial" w:cs="Arial"/>
          <w:b/>
          <w:bCs/>
          <w:sz w:val="24"/>
          <w:szCs w:val="24"/>
        </w:rPr>
        <w:t xml:space="preserve">.-  </w:t>
      </w:r>
      <w:r w:rsidR="00F35C48" w:rsidRPr="00683375">
        <w:rPr>
          <w:rFonts w:ascii="Arial" w:hAnsi="Arial" w:cs="Arial"/>
          <w:b/>
          <w:bCs/>
          <w:sz w:val="24"/>
          <w:szCs w:val="24"/>
        </w:rPr>
        <w:t xml:space="preserve">Se considerará </w:t>
      </w:r>
      <w:r w:rsidR="00FD2015" w:rsidRPr="00683375">
        <w:rPr>
          <w:rFonts w:ascii="Arial" w:hAnsi="Arial" w:cs="Arial"/>
          <w:b/>
          <w:bCs/>
          <w:sz w:val="24"/>
          <w:szCs w:val="24"/>
        </w:rPr>
        <w:t>que en un transhomicidio existirán</w:t>
      </w:r>
      <w:r w:rsidR="00F35C48" w:rsidRPr="00683375">
        <w:rPr>
          <w:rFonts w:ascii="Arial" w:hAnsi="Arial" w:cs="Arial"/>
          <w:b/>
          <w:bCs/>
          <w:sz w:val="24"/>
          <w:szCs w:val="24"/>
        </w:rPr>
        <w:t xml:space="preserve"> razones de género en las mismas circunstancias contempladas en el artículo 394 Quinquies.</w:t>
      </w:r>
    </w:p>
    <w:p w:rsidR="00621147" w:rsidRPr="00683375" w:rsidRDefault="00621147" w:rsidP="00125D1D">
      <w:pPr>
        <w:jc w:val="both"/>
        <w:rPr>
          <w:rFonts w:ascii="Arial" w:hAnsi="Arial" w:cs="Arial"/>
          <w:b/>
          <w:bCs/>
          <w:sz w:val="24"/>
          <w:szCs w:val="24"/>
        </w:rPr>
      </w:pPr>
    </w:p>
    <w:p w:rsidR="00F35C48" w:rsidRPr="00683375" w:rsidRDefault="00BD581A" w:rsidP="00125D1D">
      <w:pPr>
        <w:jc w:val="both"/>
        <w:rPr>
          <w:rFonts w:ascii="Arial" w:hAnsi="Arial" w:cs="Arial"/>
          <w:b/>
          <w:bCs/>
          <w:sz w:val="24"/>
          <w:szCs w:val="24"/>
        </w:rPr>
      </w:pPr>
      <w:r w:rsidRPr="00683375">
        <w:rPr>
          <w:rFonts w:ascii="Arial" w:hAnsi="Arial" w:cs="Arial"/>
          <w:b/>
          <w:bCs/>
          <w:sz w:val="24"/>
          <w:szCs w:val="24"/>
        </w:rPr>
        <w:t>Artículo</w:t>
      </w:r>
      <w:r w:rsidR="00984A6E" w:rsidRPr="00683375">
        <w:rPr>
          <w:rFonts w:ascii="Arial" w:hAnsi="Arial" w:cs="Arial"/>
          <w:b/>
          <w:bCs/>
          <w:sz w:val="24"/>
          <w:szCs w:val="24"/>
        </w:rPr>
        <w:t xml:space="preserve"> 39</w:t>
      </w:r>
      <w:r w:rsidRPr="00683375">
        <w:rPr>
          <w:rFonts w:ascii="Arial" w:hAnsi="Arial" w:cs="Arial"/>
          <w:b/>
          <w:bCs/>
          <w:sz w:val="24"/>
          <w:szCs w:val="24"/>
        </w:rPr>
        <w:t>4 Decies</w:t>
      </w:r>
      <w:r w:rsidR="00984A6E" w:rsidRPr="00683375">
        <w:rPr>
          <w:rFonts w:ascii="Arial" w:hAnsi="Arial" w:cs="Arial"/>
          <w:b/>
          <w:bCs/>
          <w:sz w:val="24"/>
          <w:szCs w:val="24"/>
        </w:rPr>
        <w:t xml:space="preserve">.- </w:t>
      </w:r>
      <w:r w:rsidR="00125D1D" w:rsidRPr="00683375">
        <w:rPr>
          <w:rFonts w:ascii="Arial" w:hAnsi="Arial" w:cs="Arial"/>
          <w:b/>
          <w:bCs/>
          <w:sz w:val="24"/>
          <w:szCs w:val="24"/>
        </w:rPr>
        <w:t xml:space="preserve">Se considerará que en un </w:t>
      </w:r>
      <w:r w:rsidR="00A35002" w:rsidRPr="00683375">
        <w:rPr>
          <w:rFonts w:ascii="Arial" w:hAnsi="Arial" w:cs="Arial"/>
          <w:b/>
          <w:bCs/>
          <w:sz w:val="24"/>
          <w:szCs w:val="24"/>
        </w:rPr>
        <w:t xml:space="preserve">transhomicidio </w:t>
      </w:r>
      <w:r w:rsidR="00125D1D" w:rsidRPr="00683375">
        <w:rPr>
          <w:rFonts w:ascii="Arial" w:hAnsi="Arial" w:cs="Arial"/>
          <w:b/>
          <w:bCs/>
          <w:sz w:val="24"/>
          <w:szCs w:val="24"/>
        </w:rPr>
        <w:t xml:space="preserve">existen razones de </w:t>
      </w:r>
      <w:r w:rsidR="007E230F" w:rsidRPr="00683375">
        <w:rPr>
          <w:rFonts w:ascii="Arial" w:hAnsi="Arial" w:cs="Arial"/>
          <w:b/>
          <w:bCs/>
          <w:sz w:val="24"/>
          <w:szCs w:val="24"/>
        </w:rPr>
        <w:t xml:space="preserve">identidad de género y expresión de género </w:t>
      </w:r>
      <w:r w:rsidR="00125D1D" w:rsidRPr="00683375">
        <w:rPr>
          <w:rFonts w:ascii="Arial" w:hAnsi="Arial" w:cs="Arial"/>
          <w:b/>
          <w:bCs/>
          <w:sz w:val="24"/>
          <w:szCs w:val="24"/>
        </w:rPr>
        <w:t>cuando:</w:t>
      </w:r>
    </w:p>
    <w:p w:rsidR="00AE376B" w:rsidRPr="00683375" w:rsidRDefault="00AE376B" w:rsidP="00125D1D">
      <w:pPr>
        <w:jc w:val="both"/>
        <w:rPr>
          <w:rFonts w:ascii="Arial" w:hAnsi="Arial" w:cs="Arial"/>
          <w:b/>
          <w:bCs/>
          <w:sz w:val="24"/>
          <w:szCs w:val="24"/>
        </w:rPr>
      </w:pPr>
    </w:p>
    <w:p w:rsidR="00125D1D" w:rsidRPr="00683375" w:rsidRDefault="00125D1D"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Testigos o en cualquier tipo de evidencia recabada, declaren o se indique que previo, durante y posterior a la comisión del delito fue empleado lenguaje de odio</w:t>
      </w:r>
      <w:r w:rsidR="00234CE0" w:rsidRPr="00683375">
        <w:rPr>
          <w:rFonts w:ascii="Arial" w:hAnsi="Arial" w:cs="Arial"/>
          <w:b/>
          <w:bCs/>
          <w:sz w:val="24"/>
          <w:szCs w:val="24"/>
        </w:rPr>
        <w:t xml:space="preserve"> y estigmatizantes</w:t>
      </w:r>
      <w:r w:rsidRPr="00683375">
        <w:rPr>
          <w:rFonts w:ascii="Arial" w:hAnsi="Arial" w:cs="Arial"/>
          <w:b/>
          <w:bCs/>
          <w:sz w:val="24"/>
          <w:szCs w:val="24"/>
        </w:rPr>
        <w:t xml:space="preserve"> dirigido</w:t>
      </w:r>
      <w:r w:rsidR="00234CE0" w:rsidRPr="00683375">
        <w:rPr>
          <w:rFonts w:ascii="Arial" w:hAnsi="Arial" w:cs="Arial"/>
          <w:b/>
          <w:bCs/>
          <w:sz w:val="24"/>
          <w:szCs w:val="24"/>
        </w:rPr>
        <w:t>s</w:t>
      </w:r>
      <w:r w:rsidRPr="00683375">
        <w:rPr>
          <w:rFonts w:ascii="Arial" w:hAnsi="Arial" w:cs="Arial"/>
          <w:b/>
          <w:bCs/>
          <w:sz w:val="24"/>
          <w:szCs w:val="24"/>
        </w:rPr>
        <w:t xml:space="preserve"> a la víctima motivado por su </w:t>
      </w:r>
      <w:r w:rsidR="00984A6E" w:rsidRPr="00683375">
        <w:rPr>
          <w:rFonts w:ascii="Arial" w:hAnsi="Arial" w:cs="Arial"/>
          <w:b/>
          <w:bCs/>
          <w:sz w:val="24"/>
          <w:szCs w:val="24"/>
        </w:rPr>
        <w:t>identidad de género y expresión de género</w:t>
      </w:r>
      <w:r w:rsidRPr="00683375">
        <w:rPr>
          <w:rFonts w:ascii="Arial" w:hAnsi="Arial" w:cs="Arial"/>
          <w:b/>
          <w:bCs/>
          <w:sz w:val="24"/>
          <w:szCs w:val="24"/>
        </w:rPr>
        <w:t>.</w:t>
      </w:r>
    </w:p>
    <w:p w:rsidR="00125D1D" w:rsidRPr="00683375" w:rsidRDefault="00125D1D"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 xml:space="preserve">El </w:t>
      </w:r>
      <w:r w:rsidR="00234CE0" w:rsidRPr="00683375">
        <w:rPr>
          <w:rFonts w:ascii="Arial" w:hAnsi="Arial" w:cs="Arial"/>
          <w:b/>
          <w:bCs/>
          <w:sz w:val="24"/>
          <w:szCs w:val="24"/>
        </w:rPr>
        <w:t>agresor</w:t>
      </w:r>
      <w:r w:rsidRPr="00683375">
        <w:rPr>
          <w:rFonts w:ascii="Arial" w:hAnsi="Arial" w:cs="Arial"/>
          <w:b/>
          <w:bCs/>
          <w:sz w:val="24"/>
          <w:szCs w:val="24"/>
        </w:rPr>
        <w:t xml:space="preserve"> argumente que el delito cometido fue motivado por desprecio, odio o aberración a la</w:t>
      </w:r>
      <w:r w:rsidR="00234CE0" w:rsidRPr="00683375">
        <w:rPr>
          <w:rFonts w:ascii="Arial" w:hAnsi="Arial" w:cs="Arial"/>
          <w:b/>
          <w:bCs/>
          <w:sz w:val="24"/>
          <w:szCs w:val="24"/>
        </w:rPr>
        <w:t xml:space="preserve"> identidad de género y</w:t>
      </w:r>
      <w:r w:rsidRPr="00683375">
        <w:rPr>
          <w:rFonts w:ascii="Arial" w:hAnsi="Arial" w:cs="Arial"/>
          <w:b/>
          <w:bCs/>
          <w:sz w:val="24"/>
          <w:szCs w:val="24"/>
        </w:rPr>
        <w:t xml:space="preserve"> expresión de género de la víctima.</w:t>
      </w:r>
    </w:p>
    <w:p w:rsidR="00125D1D" w:rsidRPr="00683375" w:rsidRDefault="00125D1D"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 xml:space="preserve">La </w:t>
      </w:r>
      <w:r w:rsidR="00A8383C" w:rsidRPr="00683375">
        <w:rPr>
          <w:rFonts w:ascii="Arial" w:hAnsi="Arial" w:cs="Arial"/>
          <w:b/>
          <w:bCs/>
          <w:sz w:val="24"/>
          <w:szCs w:val="24"/>
        </w:rPr>
        <w:t xml:space="preserve">víctima </w:t>
      </w:r>
      <w:r w:rsidRPr="00683375">
        <w:rPr>
          <w:rFonts w:ascii="Arial" w:hAnsi="Arial" w:cs="Arial"/>
          <w:b/>
          <w:bCs/>
          <w:sz w:val="24"/>
          <w:szCs w:val="24"/>
        </w:rPr>
        <w:t xml:space="preserve">haya sido una activista defensora de los </w:t>
      </w:r>
      <w:r w:rsidR="00004541" w:rsidRPr="00683375">
        <w:rPr>
          <w:rFonts w:ascii="Arial" w:hAnsi="Arial" w:cs="Arial"/>
          <w:b/>
          <w:bCs/>
          <w:sz w:val="24"/>
          <w:szCs w:val="24"/>
        </w:rPr>
        <w:t>derechos</w:t>
      </w:r>
      <w:r w:rsidR="00234CE0" w:rsidRPr="00683375">
        <w:rPr>
          <w:rFonts w:ascii="Arial" w:hAnsi="Arial" w:cs="Arial"/>
          <w:b/>
          <w:bCs/>
          <w:sz w:val="24"/>
          <w:szCs w:val="24"/>
        </w:rPr>
        <w:t xml:space="preserve"> o promotora en</w:t>
      </w:r>
      <w:r w:rsidR="00004541" w:rsidRPr="00683375">
        <w:rPr>
          <w:rFonts w:ascii="Arial" w:hAnsi="Arial" w:cs="Arial"/>
          <w:b/>
          <w:bCs/>
          <w:sz w:val="24"/>
          <w:szCs w:val="24"/>
        </w:rPr>
        <w:t xml:space="preserve"> favor de las personas LGBTI+</w:t>
      </w:r>
    </w:p>
    <w:p w:rsidR="00125D1D" w:rsidRPr="00683375" w:rsidRDefault="00004541"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Otra u otras personas LGBTI+</w:t>
      </w:r>
      <w:r w:rsidR="00125D1D" w:rsidRPr="00683375">
        <w:rPr>
          <w:rFonts w:ascii="Arial" w:hAnsi="Arial" w:cs="Arial"/>
          <w:b/>
          <w:bCs/>
          <w:sz w:val="24"/>
          <w:szCs w:val="24"/>
        </w:rPr>
        <w:t xml:space="preserve"> reconozca</w:t>
      </w:r>
      <w:r w:rsidRPr="00683375">
        <w:rPr>
          <w:rFonts w:ascii="Arial" w:hAnsi="Arial" w:cs="Arial"/>
          <w:b/>
          <w:bCs/>
          <w:sz w:val="24"/>
          <w:szCs w:val="24"/>
        </w:rPr>
        <w:t>n</w:t>
      </w:r>
      <w:r w:rsidR="00125D1D" w:rsidRPr="00683375">
        <w:rPr>
          <w:rFonts w:ascii="Arial" w:hAnsi="Arial" w:cs="Arial"/>
          <w:b/>
          <w:bCs/>
          <w:sz w:val="24"/>
          <w:szCs w:val="24"/>
        </w:rPr>
        <w:t xml:space="preserve"> a la víctima </w:t>
      </w:r>
      <w:r w:rsidR="00234CE0" w:rsidRPr="00683375">
        <w:rPr>
          <w:rFonts w:ascii="Arial" w:hAnsi="Arial" w:cs="Arial"/>
          <w:b/>
          <w:bCs/>
          <w:sz w:val="24"/>
          <w:szCs w:val="24"/>
        </w:rPr>
        <w:t>en su identidad de género y</w:t>
      </w:r>
      <w:r w:rsidR="00125D1D" w:rsidRPr="00683375">
        <w:rPr>
          <w:rFonts w:ascii="Arial" w:hAnsi="Arial" w:cs="Arial"/>
          <w:b/>
          <w:bCs/>
          <w:sz w:val="24"/>
          <w:szCs w:val="24"/>
        </w:rPr>
        <w:t xml:space="preserve"> expresión de </w:t>
      </w:r>
      <w:r w:rsidR="00234CE0" w:rsidRPr="00683375">
        <w:rPr>
          <w:rFonts w:ascii="Arial" w:hAnsi="Arial" w:cs="Arial"/>
          <w:b/>
          <w:bCs/>
          <w:sz w:val="24"/>
          <w:szCs w:val="24"/>
        </w:rPr>
        <w:t>género como</w:t>
      </w:r>
      <w:r w:rsidR="00125D1D" w:rsidRPr="00683375">
        <w:rPr>
          <w:rFonts w:ascii="Arial" w:hAnsi="Arial" w:cs="Arial"/>
          <w:b/>
          <w:bCs/>
          <w:sz w:val="24"/>
          <w:szCs w:val="24"/>
        </w:rPr>
        <w:t xml:space="preserve"> parte de ella.</w:t>
      </w:r>
    </w:p>
    <w:p w:rsidR="00125D1D" w:rsidRPr="00683375" w:rsidRDefault="00125D1D"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 xml:space="preserve">La familia nuclear o social reconozca a la víctima </w:t>
      </w:r>
      <w:r w:rsidR="00234CE0" w:rsidRPr="00683375">
        <w:rPr>
          <w:rFonts w:ascii="Arial" w:hAnsi="Arial" w:cs="Arial"/>
          <w:b/>
          <w:bCs/>
          <w:sz w:val="24"/>
          <w:szCs w:val="24"/>
        </w:rPr>
        <w:t>en</w:t>
      </w:r>
      <w:r w:rsidRPr="00683375">
        <w:rPr>
          <w:rFonts w:ascii="Arial" w:hAnsi="Arial" w:cs="Arial"/>
          <w:b/>
          <w:bCs/>
          <w:sz w:val="24"/>
          <w:szCs w:val="24"/>
        </w:rPr>
        <w:t xml:space="preserve"> su </w:t>
      </w:r>
      <w:r w:rsidR="00234CE0" w:rsidRPr="00683375">
        <w:rPr>
          <w:rFonts w:ascii="Arial" w:hAnsi="Arial" w:cs="Arial"/>
          <w:b/>
          <w:bCs/>
          <w:sz w:val="24"/>
          <w:szCs w:val="24"/>
        </w:rPr>
        <w:t xml:space="preserve">identidad de género y expresión de género </w:t>
      </w:r>
      <w:r w:rsidRPr="00683375">
        <w:rPr>
          <w:rFonts w:ascii="Arial" w:hAnsi="Arial" w:cs="Arial"/>
          <w:b/>
          <w:bCs/>
          <w:sz w:val="24"/>
          <w:szCs w:val="24"/>
        </w:rPr>
        <w:t>como parte de ella.</w:t>
      </w:r>
    </w:p>
    <w:p w:rsidR="00125D1D" w:rsidRPr="00683375" w:rsidRDefault="00125D1D"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La v</w:t>
      </w:r>
      <w:r w:rsidR="00A8383C" w:rsidRPr="00683375">
        <w:rPr>
          <w:rFonts w:ascii="Arial" w:hAnsi="Arial" w:cs="Arial"/>
          <w:b/>
          <w:bCs/>
          <w:sz w:val="24"/>
          <w:szCs w:val="24"/>
        </w:rPr>
        <w:t>í</w:t>
      </w:r>
      <w:r w:rsidRPr="00683375">
        <w:rPr>
          <w:rFonts w:ascii="Arial" w:hAnsi="Arial" w:cs="Arial"/>
          <w:b/>
          <w:bCs/>
          <w:sz w:val="24"/>
          <w:szCs w:val="24"/>
        </w:rPr>
        <w:t xml:space="preserve">ctima presente señales de crueldad, saña y/o encono en su cuerpo, objetos personales o posesiones relacionadas con su </w:t>
      </w:r>
      <w:r w:rsidR="00234CE0" w:rsidRPr="00683375">
        <w:rPr>
          <w:rFonts w:ascii="Arial" w:hAnsi="Arial" w:cs="Arial"/>
          <w:b/>
          <w:bCs/>
          <w:sz w:val="24"/>
          <w:szCs w:val="24"/>
        </w:rPr>
        <w:t>identidad de género y expresión de género</w:t>
      </w:r>
      <w:r w:rsidRPr="00683375">
        <w:rPr>
          <w:rFonts w:ascii="Arial" w:hAnsi="Arial" w:cs="Arial"/>
          <w:b/>
          <w:bCs/>
          <w:sz w:val="24"/>
          <w:szCs w:val="24"/>
        </w:rPr>
        <w:t>.</w:t>
      </w:r>
    </w:p>
    <w:p w:rsidR="00F35C48" w:rsidRPr="00683375" w:rsidRDefault="00125D1D" w:rsidP="00683375">
      <w:pPr>
        <w:pStyle w:val="Prrafodelista"/>
        <w:numPr>
          <w:ilvl w:val="0"/>
          <w:numId w:val="7"/>
        </w:numPr>
        <w:jc w:val="both"/>
        <w:rPr>
          <w:rFonts w:ascii="Arial" w:hAnsi="Arial" w:cs="Arial"/>
          <w:b/>
          <w:bCs/>
          <w:sz w:val="24"/>
          <w:szCs w:val="24"/>
        </w:rPr>
      </w:pPr>
      <w:r w:rsidRPr="00683375">
        <w:rPr>
          <w:rFonts w:ascii="Arial" w:hAnsi="Arial" w:cs="Arial"/>
          <w:b/>
          <w:bCs/>
          <w:sz w:val="24"/>
          <w:szCs w:val="24"/>
        </w:rPr>
        <w:t xml:space="preserve">Exista evidencia y/o antecedentes de que, previo a la comisión del delito, el activo haya ejercido algún tipo de discriminación o lenguaje de odio hacia la </w:t>
      </w:r>
      <w:r w:rsidR="00A8383C" w:rsidRPr="00683375">
        <w:rPr>
          <w:rFonts w:ascii="Arial" w:hAnsi="Arial" w:cs="Arial"/>
          <w:b/>
          <w:bCs/>
          <w:sz w:val="24"/>
          <w:szCs w:val="24"/>
        </w:rPr>
        <w:t xml:space="preserve">víctima </w:t>
      </w:r>
      <w:r w:rsidRPr="00683375">
        <w:rPr>
          <w:rFonts w:ascii="Arial" w:hAnsi="Arial" w:cs="Arial"/>
          <w:b/>
          <w:bCs/>
          <w:sz w:val="24"/>
          <w:szCs w:val="24"/>
        </w:rPr>
        <w:t xml:space="preserve">motivado por su </w:t>
      </w:r>
      <w:r w:rsidR="00234CE0" w:rsidRPr="00683375">
        <w:rPr>
          <w:rFonts w:ascii="Arial" w:hAnsi="Arial" w:cs="Arial"/>
          <w:b/>
          <w:bCs/>
          <w:sz w:val="24"/>
          <w:szCs w:val="24"/>
        </w:rPr>
        <w:t>identidad de género y expresión de género</w:t>
      </w:r>
      <w:r w:rsidRPr="00683375">
        <w:rPr>
          <w:rFonts w:ascii="Arial" w:hAnsi="Arial" w:cs="Arial"/>
          <w:b/>
          <w:bCs/>
          <w:sz w:val="24"/>
          <w:szCs w:val="24"/>
        </w:rPr>
        <w:t>.</w:t>
      </w:r>
    </w:p>
    <w:p w:rsidR="00621147" w:rsidRPr="00683375" w:rsidRDefault="00621147" w:rsidP="00125D1D">
      <w:pPr>
        <w:jc w:val="both"/>
        <w:rPr>
          <w:rFonts w:ascii="Arial" w:hAnsi="Arial" w:cs="Arial"/>
          <w:b/>
          <w:bCs/>
          <w:sz w:val="24"/>
          <w:szCs w:val="24"/>
        </w:rPr>
      </w:pPr>
    </w:p>
    <w:p w:rsidR="00B13B7C" w:rsidRPr="00683375" w:rsidRDefault="00BD581A" w:rsidP="00125D1D">
      <w:pPr>
        <w:jc w:val="both"/>
        <w:rPr>
          <w:rFonts w:ascii="Arial" w:hAnsi="Arial" w:cs="Arial"/>
          <w:b/>
          <w:bCs/>
          <w:sz w:val="24"/>
          <w:szCs w:val="24"/>
        </w:rPr>
      </w:pPr>
      <w:r w:rsidRPr="00683375">
        <w:rPr>
          <w:rFonts w:ascii="Arial" w:hAnsi="Arial" w:cs="Arial"/>
          <w:b/>
          <w:bCs/>
          <w:sz w:val="24"/>
          <w:szCs w:val="24"/>
        </w:rPr>
        <w:t>Articulo 394</w:t>
      </w:r>
      <w:r w:rsidR="00621147" w:rsidRPr="00683375">
        <w:rPr>
          <w:rFonts w:ascii="Arial" w:hAnsi="Arial" w:cs="Arial"/>
          <w:b/>
          <w:bCs/>
          <w:sz w:val="24"/>
          <w:szCs w:val="24"/>
        </w:rPr>
        <w:t xml:space="preserve"> </w:t>
      </w:r>
      <w:r w:rsidRPr="00683375">
        <w:rPr>
          <w:rFonts w:ascii="Arial" w:hAnsi="Arial" w:cs="Arial"/>
          <w:b/>
          <w:bCs/>
          <w:sz w:val="24"/>
          <w:szCs w:val="24"/>
        </w:rPr>
        <w:t>Undecies</w:t>
      </w:r>
      <w:r w:rsidR="00621147" w:rsidRPr="00683375">
        <w:rPr>
          <w:rFonts w:ascii="Arial" w:hAnsi="Arial" w:cs="Arial"/>
          <w:b/>
          <w:bCs/>
          <w:sz w:val="24"/>
          <w:szCs w:val="24"/>
        </w:rPr>
        <w:t xml:space="preserve">.- </w:t>
      </w:r>
      <w:r w:rsidR="00125D1D" w:rsidRPr="00683375">
        <w:rPr>
          <w:rFonts w:ascii="Arial" w:hAnsi="Arial" w:cs="Arial"/>
          <w:b/>
          <w:bCs/>
          <w:sz w:val="24"/>
          <w:szCs w:val="24"/>
        </w:rPr>
        <w:t xml:space="preserve">A quien cometa </w:t>
      </w:r>
      <w:r w:rsidR="00A35002" w:rsidRPr="00683375">
        <w:rPr>
          <w:rFonts w:ascii="Arial" w:hAnsi="Arial" w:cs="Arial"/>
          <w:b/>
          <w:bCs/>
          <w:sz w:val="24"/>
          <w:szCs w:val="24"/>
        </w:rPr>
        <w:t xml:space="preserve">transhomicidio </w:t>
      </w:r>
      <w:r w:rsidR="00125D1D" w:rsidRPr="00683375">
        <w:rPr>
          <w:rFonts w:ascii="Arial" w:hAnsi="Arial" w:cs="Arial"/>
          <w:b/>
          <w:bCs/>
          <w:sz w:val="24"/>
          <w:szCs w:val="24"/>
        </w:rPr>
        <w:t xml:space="preserve">se le impondrá una pena de </w:t>
      </w:r>
      <w:r w:rsidR="00234CE0" w:rsidRPr="00683375">
        <w:rPr>
          <w:rFonts w:ascii="Arial" w:hAnsi="Arial" w:cs="Arial"/>
          <w:b/>
          <w:bCs/>
          <w:sz w:val="24"/>
          <w:szCs w:val="24"/>
        </w:rPr>
        <w:t xml:space="preserve">cuarenta </w:t>
      </w:r>
      <w:r w:rsidR="00B13B7C" w:rsidRPr="00683375">
        <w:rPr>
          <w:rFonts w:ascii="Arial" w:hAnsi="Arial" w:cs="Arial"/>
          <w:b/>
          <w:bCs/>
          <w:sz w:val="24"/>
          <w:szCs w:val="24"/>
        </w:rPr>
        <w:t xml:space="preserve">años </w:t>
      </w:r>
      <w:r w:rsidR="00234CE0" w:rsidRPr="00683375">
        <w:rPr>
          <w:rFonts w:ascii="Arial" w:hAnsi="Arial" w:cs="Arial"/>
          <w:b/>
          <w:bCs/>
          <w:sz w:val="24"/>
          <w:szCs w:val="24"/>
        </w:rPr>
        <w:t>a setenta</w:t>
      </w:r>
      <w:r w:rsidR="00125D1D" w:rsidRPr="00683375">
        <w:rPr>
          <w:rFonts w:ascii="Arial" w:hAnsi="Arial" w:cs="Arial"/>
          <w:b/>
          <w:bCs/>
          <w:sz w:val="24"/>
          <w:szCs w:val="24"/>
        </w:rPr>
        <w:t xml:space="preserve"> años de prisión</w:t>
      </w:r>
      <w:r w:rsidR="00B13B7C" w:rsidRPr="00683375">
        <w:rPr>
          <w:rFonts w:ascii="Arial" w:hAnsi="Arial" w:cs="Arial"/>
          <w:b/>
          <w:bCs/>
          <w:sz w:val="24"/>
          <w:szCs w:val="24"/>
        </w:rPr>
        <w:t xml:space="preserve"> y a quien lo cometa teniendo por victima una infancia transgénero se le impondrá una pena de cincuenta a ochenta años de prisión.</w:t>
      </w:r>
    </w:p>
    <w:p w:rsidR="00125D1D" w:rsidRPr="00683375" w:rsidRDefault="00125D1D" w:rsidP="00125D1D">
      <w:pPr>
        <w:jc w:val="both"/>
        <w:rPr>
          <w:rFonts w:ascii="Arial" w:hAnsi="Arial" w:cs="Arial"/>
          <w:b/>
          <w:bCs/>
          <w:sz w:val="24"/>
          <w:szCs w:val="24"/>
        </w:rPr>
      </w:pPr>
      <w:r w:rsidRPr="00683375">
        <w:rPr>
          <w:rFonts w:ascii="Arial" w:hAnsi="Arial" w:cs="Arial"/>
          <w:b/>
          <w:bCs/>
          <w:sz w:val="24"/>
          <w:szCs w:val="24"/>
        </w:rPr>
        <w:t xml:space="preserve">Cuando el activo intente llevar a cabo </w:t>
      </w:r>
      <w:r w:rsidR="00A35002" w:rsidRPr="00683375">
        <w:rPr>
          <w:rFonts w:ascii="Arial" w:hAnsi="Arial" w:cs="Arial"/>
          <w:b/>
          <w:bCs/>
          <w:sz w:val="24"/>
          <w:szCs w:val="24"/>
        </w:rPr>
        <w:t xml:space="preserve">transhomicidio </w:t>
      </w:r>
      <w:r w:rsidRPr="00683375">
        <w:rPr>
          <w:rFonts w:ascii="Arial" w:hAnsi="Arial" w:cs="Arial"/>
          <w:b/>
          <w:bCs/>
          <w:sz w:val="24"/>
          <w:szCs w:val="24"/>
        </w:rPr>
        <w:t xml:space="preserve">y no lo lograse por cualquier motivo, se considerará como tentativa de </w:t>
      </w:r>
      <w:r w:rsidR="00A35002" w:rsidRPr="00683375">
        <w:rPr>
          <w:rFonts w:ascii="Arial" w:hAnsi="Arial" w:cs="Arial"/>
          <w:b/>
          <w:bCs/>
          <w:sz w:val="24"/>
          <w:szCs w:val="24"/>
        </w:rPr>
        <w:t>transhomicidio</w:t>
      </w:r>
      <w:r w:rsidR="00621147" w:rsidRPr="00683375">
        <w:rPr>
          <w:rFonts w:ascii="Arial" w:hAnsi="Arial" w:cs="Arial"/>
          <w:b/>
          <w:bCs/>
          <w:sz w:val="24"/>
          <w:szCs w:val="24"/>
        </w:rPr>
        <w:t>, según sea el caso,</w:t>
      </w:r>
      <w:r w:rsidRPr="00683375">
        <w:rPr>
          <w:rFonts w:ascii="Arial" w:hAnsi="Arial" w:cs="Arial"/>
          <w:b/>
          <w:bCs/>
          <w:sz w:val="24"/>
          <w:szCs w:val="24"/>
        </w:rPr>
        <w:t xml:space="preserve"> y se procederá conforma a los dispuesto en el artículo 84 de este Código para la aplicación de la sanción correspondiente.</w:t>
      </w:r>
    </w:p>
    <w:p w:rsidR="00125D1D" w:rsidRPr="00683375" w:rsidRDefault="00125D1D" w:rsidP="00125D1D">
      <w:pPr>
        <w:jc w:val="both"/>
        <w:rPr>
          <w:rFonts w:ascii="Arial" w:hAnsi="Arial" w:cs="Arial"/>
          <w:b/>
          <w:bCs/>
          <w:sz w:val="24"/>
          <w:szCs w:val="24"/>
        </w:rPr>
      </w:pPr>
      <w:r w:rsidRPr="00683375">
        <w:rPr>
          <w:rFonts w:ascii="Arial" w:hAnsi="Arial" w:cs="Arial"/>
          <w:b/>
          <w:bCs/>
          <w:sz w:val="24"/>
          <w:szCs w:val="24"/>
        </w:rPr>
        <w:t xml:space="preserve">Para la confirmación del delito de </w:t>
      </w:r>
      <w:r w:rsidR="00A35002" w:rsidRPr="00683375">
        <w:rPr>
          <w:rFonts w:ascii="Arial" w:hAnsi="Arial" w:cs="Arial"/>
          <w:b/>
          <w:bCs/>
          <w:sz w:val="24"/>
          <w:szCs w:val="24"/>
        </w:rPr>
        <w:t>transhomicidio</w:t>
      </w:r>
      <w:r w:rsidRPr="00683375">
        <w:rPr>
          <w:rFonts w:ascii="Arial" w:hAnsi="Arial" w:cs="Arial"/>
          <w:b/>
          <w:bCs/>
          <w:sz w:val="24"/>
          <w:szCs w:val="24"/>
        </w:rPr>
        <w:t xml:space="preserve">, además de los supuestos ya mencionados en razón de género, </w:t>
      </w:r>
      <w:r w:rsidR="00234CE0" w:rsidRPr="00683375">
        <w:rPr>
          <w:rFonts w:ascii="Arial" w:hAnsi="Arial" w:cs="Arial"/>
          <w:b/>
          <w:bCs/>
          <w:sz w:val="24"/>
          <w:szCs w:val="24"/>
        </w:rPr>
        <w:t xml:space="preserve">identidad de género y expresión de género </w:t>
      </w:r>
      <w:r w:rsidRPr="00683375">
        <w:rPr>
          <w:rFonts w:ascii="Arial" w:hAnsi="Arial" w:cs="Arial"/>
          <w:b/>
          <w:bCs/>
          <w:sz w:val="24"/>
          <w:szCs w:val="24"/>
        </w:rPr>
        <w:t xml:space="preserve">o </w:t>
      </w:r>
      <w:r w:rsidR="00234CE0" w:rsidRPr="00683375">
        <w:rPr>
          <w:rFonts w:ascii="Arial" w:hAnsi="Arial" w:cs="Arial"/>
          <w:b/>
          <w:bCs/>
          <w:sz w:val="24"/>
          <w:szCs w:val="24"/>
        </w:rPr>
        <w:t>todas las anteriores</w:t>
      </w:r>
      <w:r w:rsidRPr="00683375">
        <w:rPr>
          <w:rFonts w:ascii="Arial" w:hAnsi="Arial" w:cs="Arial"/>
          <w:b/>
          <w:bCs/>
          <w:sz w:val="24"/>
          <w:szCs w:val="24"/>
        </w:rPr>
        <w:t>, la Fiscalía y las demás instancias correspondientes deberán actuar conforme al Protocolo correspondiente.</w:t>
      </w:r>
    </w:p>
    <w:p w:rsidR="001C7CAD" w:rsidRPr="00683375" w:rsidRDefault="00125D1D" w:rsidP="00125D1D">
      <w:pPr>
        <w:spacing w:line="360" w:lineRule="auto"/>
        <w:jc w:val="both"/>
        <w:rPr>
          <w:rFonts w:ascii="Arial" w:hAnsi="Arial" w:cs="Arial"/>
          <w:b/>
          <w:bCs/>
          <w:sz w:val="24"/>
          <w:szCs w:val="24"/>
        </w:rPr>
      </w:pPr>
      <w:r w:rsidRPr="00683375">
        <w:rPr>
          <w:rFonts w:ascii="Arial" w:hAnsi="Arial" w:cs="Arial"/>
          <w:b/>
          <w:bCs/>
          <w:sz w:val="24"/>
          <w:szCs w:val="24"/>
        </w:rPr>
        <w:t xml:space="preserve">En caso de que no se acredite el </w:t>
      </w:r>
      <w:r w:rsidR="00A35002" w:rsidRPr="00683375">
        <w:rPr>
          <w:rFonts w:ascii="Arial" w:hAnsi="Arial" w:cs="Arial"/>
          <w:b/>
          <w:bCs/>
          <w:sz w:val="24"/>
          <w:szCs w:val="24"/>
        </w:rPr>
        <w:t>transhomicidio</w:t>
      </w:r>
      <w:r w:rsidR="004F41D3" w:rsidRPr="00683375">
        <w:rPr>
          <w:rFonts w:ascii="Arial" w:hAnsi="Arial" w:cs="Arial"/>
          <w:b/>
          <w:bCs/>
          <w:sz w:val="24"/>
          <w:szCs w:val="24"/>
        </w:rPr>
        <w:t xml:space="preserve"> </w:t>
      </w:r>
      <w:r w:rsidRPr="00683375">
        <w:rPr>
          <w:rFonts w:ascii="Arial" w:hAnsi="Arial" w:cs="Arial"/>
          <w:b/>
          <w:bCs/>
          <w:sz w:val="24"/>
          <w:szCs w:val="24"/>
        </w:rPr>
        <w:t>se considerará el delito como homicidio</w:t>
      </w:r>
      <w:r w:rsidR="0055464A" w:rsidRPr="00683375">
        <w:rPr>
          <w:rFonts w:ascii="Arial" w:hAnsi="Arial" w:cs="Arial"/>
          <w:b/>
          <w:bCs/>
          <w:sz w:val="24"/>
          <w:szCs w:val="24"/>
        </w:rPr>
        <w:t>.</w:t>
      </w:r>
    </w:p>
    <w:p w:rsidR="00621147" w:rsidRPr="00683375" w:rsidRDefault="00621147" w:rsidP="00125D1D">
      <w:pPr>
        <w:spacing w:line="360" w:lineRule="auto"/>
        <w:jc w:val="both"/>
        <w:rPr>
          <w:rFonts w:ascii="Arial" w:hAnsi="Arial" w:cs="Arial"/>
          <w:b/>
          <w:bCs/>
          <w:sz w:val="24"/>
          <w:szCs w:val="24"/>
        </w:rPr>
      </w:pPr>
    </w:p>
    <w:bookmarkEnd w:id="2"/>
    <w:p w:rsidR="00125D1D" w:rsidRPr="00683375" w:rsidRDefault="00125D1D" w:rsidP="00125D1D">
      <w:pPr>
        <w:spacing w:line="360" w:lineRule="auto"/>
        <w:jc w:val="both"/>
        <w:rPr>
          <w:rFonts w:ascii="Arial" w:hAnsi="Arial" w:cs="Arial"/>
          <w:b/>
          <w:bCs/>
          <w:sz w:val="24"/>
          <w:szCs w:val="24"/>
        </w:rPr>
      </w:pPr>
    </w:p>
    <w:p w:rsidR="00E02595" w:rsidRPr="00683375" w:rsidRDefault="00E02595" w:rsidP="00E02595">
      <w:pPr>
        <w:spacing w:line="276" w:lineRule="auto"/>
        <w:jc w:val="center"/>
        <w:rPr>
          <w:rFonts w:ascii="Arial" w:eastAsia="Arial" w:hAnsi="Arial" w:cs="Arial"/>
          <w:color w:val="18171F"/>
          <w:sz w:val="24"/>
          <w:szCs w:val="24"/>
        </w:rPr>
      </w:pPr>
      <w:r w:rsidRPr="00683375">
        <w:rPr>
          <w:rFonts w:ascii="Arial" w:eastAsia="Arial" w:hAnsi="Arial" w:cs="Arial"/>
          <w:color w:val="18171F"/>
          <w:sz w:val="24"/>
          <w:szCs w:val="24"/>
        </w:rPr>
        <w:t>TRANSITORIOS</w:t>
      </w:r>
    </w:p>
    <w:p w:rsidR="00E02595" w:rsidRPr="00683375" w:rsidRDefault="00E02595" w:rsidP="00E02595">
      <w:pPr>
        <w:spacing w:line="276" w:lineRule="auto"/>
        <w:jc w:val="center"/>
        <w:rPr>
          <w:rFonts w:ascii="Arial" w:eastAsia="Arial" w:hAnsi="Arial" w:cs="Arial"/>
          <w:color w:val="18171F"/>
          <w:sz w:val="24"/>
          <w:szCs w:val="24"/>
        </w:rPr>
      </w:pPr>
    </w:p>
    <w:p w:rsidR="00E02595" w:rsidRPr="00683375" w:rsidRDefault="00E02595" w:rsidP="00E02595">
      <w:pPr>
        <w:spacing w:line="276" w:lineRule="auto"/>
        <w:jc w:val="both"/>
        <w:rPr>
          <w:rFonts w:ascii="Arial" w:eastAsia="Arial" w:hAnsi="Arial" w:cs="Arial"/>
          <w:color w:val="18171F"/>
          <w:sz w:val="24"/>
          <w:szCs w:val="24"/>
        </w:rPr>
      </w:pPr>
      <w:r w:rsidRPr="00683375">
        <w:rPr>
          <w:rFonts w:ascii="Arial" w:eastAsia="Arial" w:hAnsi="Arial" w:cs="Arial"/>
          <w:color w:val="18171F"/>
          <w:sz w:val="24"/>
          <w:szCs w:val="24"/>
        </w:rPr>
        <w:t>PRIMERO. Publíquese el presente Decreto en el Diario Oficial del Estado de Yucatán.</w:t>
      </w:r>
    </w:p>
    <w:p w:rsidR="00E02595" w:rsidRPr="00683375" w:rsidRDefault="00E02595" w:rsidP="00E02595">
      <w:pPr>
        <w:spacing w:line="276" w:lineRule="auto"/>
        <w:jc w:val="both"/>
        <w:rPr>
          <w:rFonts w:ascii="Arial" w:eastAsia="Arial" w:hAnsi="Arial" w:cs="Arial"/>
          <w:color w:val="18171F"/>
          <w:sz w:val="24"/>
          <w:szCs w:val="24"/>
        </w:rPr>
      </w:pPr>
      <w:r w:rsidRPr="00683375">
        <w:rPr>
          <w:rFonts w:ascii="Arial" w:eastAsia="Arial" w:hAnsi="Arial" w:cs="Arial"/>
          <w:color w:val="18171F"/>
          <w:sz w:val="24"/>
          <w:szCs w:val="24"/>
        </w:rPr>
        <w:t xml:space="preserve">SEGUNDO. El presente Decreto entrará </w:t>
      </w:r>
      <w:r w:rsidR="00AE376B" w:rsidRPr="00683375">
        <w:rPr>
          <w:rFonts w:ascii="Arial" w:eastAsia="Arial" w:hAnsi="Arial" w:cs="Arial"/>
          <w:color w:val="18171F"/>
          <w:sz w:val="24"/>
          <w:szCs w:val="24"/>
        </w:rPr>
        <w:t>vigor noventa días posteriores</w:t>
      </w:r>
      <w:r w:rsidRPr="00683375">
        <w:rPr>
          <w:rFonts w:ascii="Arial" w:eastAsia="Arial" w:hAnsi="Arial" w:cs="Arial"/>
          <w:color w:val="18171F"/>
          <w:sz w:val="24"/>
          <w:szCs w:val="24"/>
        </w:rPr>
        <w:t xml:space="preserve"> al día siguiente de su publicación en el Diario Oficial del Estado de Yucatán.</w:t>
      </w:r>
    </w:p>
    <w:p w:rsidR="00AE376B" w:rsidRPr="00683375" w:rsidRDefault="00AE376B" w:rsidP="00E02595">
      <w:pPr>
        <w:spacing w:line="276" w:lineRule="auto"/>
        <w:jc w:val="both"/>
        <w:rPr>
          <w:rFonts w:ascii="Arial" w:eastAsia="Arial" w:hAnsi="Arial" w:cs="Arial"/>
          <w:color w:val="18171F"/>
          <w:sz w:val="24"/>
          <w:szCs w:val="24"/>
        </w:rPr>
      </w:pPr>
      <w:r w:rsidRPr="00683375">
        <w:rPr>
          <w:rFonts w:ascii="Arial" w:eastAsia="Arial" w:hAnsi="Arial" w:cs="Arial"/>
          <w:color w:val="18171F"/>
          <w:sz w:val="24"/>
          <w:szCs w:val="24"/>
        </w:rPr>
        <w:t>TERCERO. En un plazo no mayor a noventa días se llevarán a capo procesos de capacitación y sensibilización en materia de diversidad sexual en los órganos correspondientes de la Fiscalía General del Estado.</w:t>
      </w:r>
    </w:p>
    <w:p w:rsidR="00AE376B" w:rsidRPr="00683375" w:rsidRDefault="00AE376B" w:rsidP="00E02595">
      <w:pPr>
        <w:spacing w:line="276" w:lineRule="auto"/>
        <w:jc w:val="both"/>
        <w:rPr>
          <w:rFonts w:ascii="Arial" w:eastAsia="Arial" w:hAnsi="Arial" w:cs="Arial"/>
          <w:color w:val="18171F"/>
          <w:sz w:val="24"/>
          <w:szCs w:val="24"/>
        </w:rPr>
      </w:pPr>
      <w:r w:rsidRPr="00683375">
        <w:rPr>
          <w:rFonts w:ascii="Arial" w:eastAsia="Arial" w:hAnsi="Arial" w:cs="Arial"/>
          <w:color w:val="18171F"/>
          <w:sz w:val="24"/>
          <w:szCs w:val="24"/>
        </w:rPr>
        <w:t>CUARTO. La Fiscalía General de Estado de Yucatán deberá publicar en un lapso non mayor a 180 días posteriores a la publicación de este Decreto en el Diario Oficial del Estado de Yucatán los protocolos correspondientes para la investigación para los delitos de transhomicidio.</w:t>
      </w:r>
    </w:p>
    <w:p w:rsidR="00410918" w:rsidRPr="00683375" w:rsidRDefault="00410918" w:rsidP="00E02595">
      <w:pPr>
        <w:spacing w:line="360" w:lineRule="auto"/>
        <w:jc w:val="both"/>
        <w:rPr>
          <w:rFonts w:ascii="Arial" w:hAnsi="Arial" w:cs="Arial"/>
          <w:b/>
          <w:bCs/>
          <w:sz w:val="24"/>
          <w:szCs w:val="24"/>
        </w:rPr>
      </w:pPr>
    </w:p>
    <w:p w:rsidR="00F613AC" w:rsidRDefault="00E02595" w:rsidP="005C6E78">
      <w:pPr>
        <w:spacing w:line="360" w:lineRule="auto"/>
        <w:jc w:val="both"/>
        <w:rPr>
          <w:rFonts w:ascii="Arial" w:hAnsi="Arial" w:cs="Arial"/>
          <w:b/>
          <w:bCs/>
          <w:sz w:val="24"/>
          <w:szCs w:val="24"/>
        </w:rPr>
      </w:pPr>
      <w:r w:rsidRPr="00683375">
        <w:rPr>
          <w:rFonts w:ascii="Arial" w:hAnsi="Arial" w:cs="Arial"/>
          <w:b/>
          <w:bCs/>
          <w:sz w:val="24"/>
          <w:szCs w:val="24"/>
        </w:rPr>
        <w:t xml:space="preserve">Dado en el salón de sesiones “Constituyentes de 1918” del Recinto del Poder Legislativo, en la Ciudad de Mérida, Yucatán, Estados Unidos Mexicanos, a los </w:t>
      </w:r>
      <w:r w:rsidR="00684F27" w:rsidRPr="00683375">
        <w:rPr>
          <w:rFonts w:ascii="Arial" w:hAnsi="Arial" w:cs="Arial"/>
          <w:b/>
          <w:bCs/>
          <w:sz w:val="24"/>
          <w:szCs w:val="24"/>
        </w:rPr>
        <w:t>05</w:t>
      </w:r>
      <w:r w:rsidR="00924BB0" w:rsidRPr="00683375">
        <w:rPr>
          <w:rFonts w:ascii="Arial" w:hAnsi="Arial" w:cs="Arial"/>
          <w:b/>
          <w:bCs/>
          <w:sz w:val="24"/>
          <w:szCs w:val="24"/>
        </w:rPr>
        <w:t xml:space="preserve"> días del mes de </w:t>
      </w:r>
      <w:r w:rsidR="00684F27" w:rsidRPr="00683375">
        <w:rPr>
          <w:rFonts w:ascii="Arial" w:hAnsi="Arial" w:cs="Arial"/>
          <w:b/>
          <w:bCs/>
          <w:sz w:val="24"/>
          <w:szCs w:val="24"/>
        </w:rPr>
        <w:t>noviemb</w:t>
      </w:r>
      <w:r w:rsidR="00397BF6" w:rsidRPr="00683375">
        <w:rPr>
          <w:rFonts w:ascii="Arial" w:hAnsi="Arial" w:cs="Arial"/>
          <w:b/>
          <w:bCs/>
          <w:sz w:val="24"/>
          <w:szCs w:val="24"/>
        </w:rPr>
        <w:t>re</w:t>
      </w:r>
      <w:r w:rsidRPr="00683375">
        <w:rPr>
          <w:rFonts w:ascii="Arial" w:hAnsi="Arial" w:cs="Arial"/>
          <w:b/>
          <w:bCs/>
          <w:sz w:val="24"/>
          <w:szCs w:val="24"/>
        </w:rPr>
        <w:t xml:space="preserve"> del dos mil veintic</w:t>
      </w:r>
      <w:r w:rsidR="00924BB0" w:rsidRPr="00683375">
        <w:rPr>
          <w:rFonts w:ascii="Arial" w:hAnsi="Arial" w:cs="Arial"/>
          <w:b/>
          <w:bCs/>
          <w:sz w:val="24"/>
          <w:szCs w:val="24"/>
        </w:rPr>
        <w:t>inco</w:t>
      </w:r>
      <w:r w:rsidR="005C6E78" w:rsidRPr="00683375">
        <w:rPr>
          <w:rFonts w:ascii="Arial" w:hAnsi="Arial" w:cs="Arial"/>
          <w:b/>
          <w:bCs/>
          <w:sz w:val="24"/>
          <w:szCs w:val="24"/>
        </w:rPr>
        <w:t>.</w:t>
      </w:r>
    </w:p>
    <w:p w:rsidR="00D83BE4" w:rsidRDefault="00D83BE4" w:rsidP="005C6E78">
      <w:pPr>
        <w:spacing w:line="360" w:lineRule="auto"/>
        <w:jc w:val="both"/>
        <w:rPr>
          <w:rFonts w:ascii="Arial" w:hAnsi="Arial" w:cs="Arial"/>
          <w:b/>
          <w:bCs/>
          <w:sz w:val="24"/>
          <w:szCs w:val="24"/>
        </w:rPr>
      </w:pPr>
    </w:p>
    <w:p w:rsidR="00D83BE4" w:rsidRPr="00683375" w:rsidRDefault="00D83BE4" w:rsidP="005C6E78">
      <w:pPr>
        <w:spacing w:line="360" w:lineRule="auto"/>
        <w:jc w:val="both"/>
        <w:rPr>
          <w:rFonts w:ascii="Arial" w:hAnsi="Arial" w:cs="Arial"/>
          <w:b/>
          <w:bCs/>
          <w:sz w:val="24"/>
          <w:szCs w:val="24"/>
        </w:rPr>
      </w:pPr>
    </w:p>
    <w:p w:rsidR="00F613AC" w:rsidRPr="00683375" w:rsidRDefault="00F613AC" w:rsidP="00FC5D5E">
      <w:pPr>
        <w:spacing w:line="276" w:lineRule="auto"/>
        <w:rPr>
          <w:rFonts w:ascii="Arial" w:hAnsi="Arial" w:cs="Arial"/>
          <w:sz w:val="24"/>
          <w:szCs w:val="24"/>
        </w:rPr>
      </w:pPr>
    </w:p>
    <w:p w:rsidR="00FA51E4" w:rsidRPr="00683375" w:rsidRDefault="00FA51E4" w:rsidP="00FA51E4">
      <w:pPr>
        <w:spacing w:line="360" w:lineRule="auto"/>
        <w:jc w:val="center"/>
        <w:rPr>
          <w:rFonts w:ascii="Arial" w:hAnsi="Arial" w:cs="Arial"/>
          <w:b/>
          <w:bCs/>
          <w:sz w:val="24"/>
          <w:szCs w:val="24"/>
        </w:rPr>
      </w:pPr>
      <w:r w:rsidRPr="00683375">
        <w:rPr>
          <w:rFonts w:ascii="Arial" w:hAnsi="Arial" w:cs="Arial"/>
          <w:b/>
          <w:bCs/>
          <w:sz w:val="24"/>
          <w:szCs w:val="24"/>
        </w:rPr>
        <w:t>ATENTAMENTE</w:t>
      </w:r>
    </w:p>
    <w:p w:rsidR="00F613AC" w:rsidRPr="00683375" w:rsidRDefault="00F613AC" w:rsidP="00F613AC">
      <w:pPr>
        <w:autoSpaceDE w:val="0"/>
        <w:autoSpaceDN w:val="0"/>
        <w:adjustRightInd w:val="0"/>
        <w:spacing w:afterLines="160" w:after="384" w:line="360" w:lineRule="auto"/>
        <w:contextualSpacing/>
        <w:jc w:val="center"/>
        <w:rPr>
          <w:rFonts w:ascii="Arial" w:hAnsi="Arial" w:cs="Arial"/>
          <w:sz w:val="24"/>
          <w:szCs w:val="24"/>
        </w:rPr>
      </w:pPr>
    </w:p>
    <w:p w:rsidR="00F613AC" w:rsidRPr="00683375" w:rsidRDefault="00F613AC" w:rsidP="00F613A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_____________________________________</w:t>
      </w:r>
    </w:p>
    <w:p w:rsidR="00F613AC" w:rsidRPr="00683375" w:rsidRDefault="00F613AC" w:rsidP="00F613A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DIPUTADO WILMER MANUEL MONFORTE MÁRFIL</w:t>
      </w:r>
    </w:p>
    <w:p w:rsidR="00F613AC" w:rsidRPr="00683375" w:rsidRDefault="00F613AC" w:rsidP="00F613A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COORDINADOR DE LA FRACCIÓN PARLAMENTARIA</w:t>
      </w:r>
    </w:p>
    <w:p w:rsidR="00F613AC" w:rsidRPr="00683375" w:rsidRDefault="00F613AC" w:rsidP="00F613A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DE MORENA </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FRANCISCO ROSAS VILLAVICENCIO</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DE LA REPRESENTACIÓN LEGISLATIVA DEL PARTIDO DEL TRABAJO </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HARRY GERARDO RODRÍGUEZ BOTELLO FIERRO</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DE LA REPRESENTACIÓN LEGISLATIVA DEL PARTIDO VERDE ECOLOGISTA DE MÉXICO </w:t>
            </w:r>
          </w:p>
        </w:tc>
      </w:tr>
    </w:tbl>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INTEGRANTES DE LA FRACCIÓN LEGISLATIVA </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DEL PARTIDO POLÍTICO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DE LA LXIV LEGISLATURA DEL HONORABLE CONGRESO</w:t>
      </w: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DEL ESTADO DE YUCATÁN.</w:t>
      </w: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Default="00F613AC" w:rsidP="003B641C">
      <w:pPr>
        <w:autoSpaceDE w:val="0"/>
        <w:autoSpaceDN w:val="0"/>
        <w:adjustRightInd w:val="0"/>
        <w:spacing w:afterLines="160" w:after="384" w:line="360" w:lineRule="auto"/>
        <w:contextualSpacing/>
        <w:jc w:val="both"/>
        <w:rPr>
          <w:rFonts w:ascii="Arial" w:hAnsi="Arial" w:cs="Arial"/>
          <w:sz w:val="24"/>
          <w:szCs w:val="24"/>
        </w:rPr>
      </w:pPr>
    </w:p>
    <w:p w:rsidR="00D83BE4" w:rsidRDefault="00D83BE4" w:rsidP="003B641C">
      <w:pPr>
        <w:autoSpaceDE w:val="0"/>
        <w:autoSpaceDN w:val="0"/>
        <w:adjustRightInd w:val="0"/>
        <w:spacing w:afterLines="160" w:after="384" w:line="360" w:lineRule="auto"/>
        <w:contextualSpacing/>
        <w:jc w:val="both"/>
        <w:rPr>
          <w:rFonts w:ascii="Arial" w:hAnsi="Arial" w:cs="Arial"/>
          <w:sz w:val="24"/>
          <w:szCs w:val="24"/>
        </w:rPr>
      </w:pPr>
    </w:p>
    <w:p w:rsidR="00D83BE4" w:rsidRPr="00683375" w:rsidRDefault="00D83BE4" w:rsidP="003B641C">
      <w:pPr>
        <w:autoSpaceDE w:val="0"/>
        <w:autoSpaceDN w:val="0"/>
        <w:adjustRightInd w:val="0"/>
        <w:spacing w:afterLines="160" w:after="384" w:line="360" w:lineRule="auto"/>
        <w:contextualSpacing/>
        <w:jc w:val="both"/>
        <w:rPr>
          <w:rFonts w:ascii="Arial" w:hAnsi="Arial" w:cs="Arial"/>
          <w:sz w:val="24"/>
          <w:szCs w:val="24"/>
        </w:rPr>
      </w:pPr>
    </w:p>
    <w:p w:rsidR="00F613AC" w:rsidRPr="00683375" w:rsidRDefault="00F613AC" w:rsidP="003B641C">
      <w:pPr>
        <w:autoSpaceDE w:val="0"/>
        <w:autoSpaceDN w:val="0"/>
        <w:adjustRightInd w:val="0"/>
        <w:spacing w:afterLines="160" w:after="384" w:line="360" w:lineRule="auto"/>
        <w:contextualSpacing/>
        <w:jc w:val="both"/>
        <w:rPr>
          <w:rFonts w:ascii="Arial" w:hAnsi="Arial" w:cs="Arial"/>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DIP. CLAUDIA ESTEFANIA BAEZA MARTÍNEZ </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NEYDA ARACELLY PAT DZUL 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r>
      <w:tr w:rsidR="00F613AC" w:rsidRPr="00683375">
        <w:tc>
          <w:tcPr>
            <w:tcW w:w="4414" w:type="dxa"/>
          </w:tcPr>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DANIEL ENRIQUE GONZÁLEZ QUINTAL</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 INTEGRANTE DE LA FRACCIÓN LEGISLATIVA DE MORENA</w:t>
            </w: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NAOMI RAQUEL PENICHE LÓPEZ INTEGRANTE DE LA FRACCIÓN LEGISLATIVA DE MORENA</w:t>
            </w: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tc>
      </w:tr>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CLARA PAOLA ROSALES MONTIEL</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 INTEGRANTE DE LA FRACCIÓN LEGISLATIVA DE MORENA</w:t>
            </w: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JOSÉ JULIÁN BUSTILLOS MEDINA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 INTEGRANTE DE LA FRACCIÓN LEGISLATIVA DE MORENA</w:t>
            </w:r>
          </w:p>
        </w:tc>
      </w:tr>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BAYARDO OJEDA MARRUFO</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SAMUEL DE JESÚS LIZAMA GASCA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 INTEGRANTE DE LA FRACCIÓN LEGISLATIVA DE MORENA</w:t>
            </w:r>
          </w:p>
        </w:tc>
      </w:tr>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ALBA CRISTINA COB CORTÉS 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DIP.  MARIO ALEJANDRO CUEVAS MENA </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r>
      <w:tr w:rsidR="00F613AC" w:rsidRPr="00683375">
        <w:tc>
          <w:tcPr>
            <w:tcW w:w="4414" w:type="dxa"/>
          </w:tcPr>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RAFAEL GERMÁN QUINTAL MEDINA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 xml:space="preserve">DIP.  MARÍA ESTHER MAGADÁN ALONZO </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p w:rsidR="00D83BE4" w:rsidRPr="00683375" w:rsidRDefault="00D83BE4" w:rsidP="003B641C">
            <w:pPr>
              <w:autoSpaceDE w:val="0"/>
              <w:autoSpaceDN w:val="0"/>
              <w:adjustRightInd w:val="0"/>
              <w:spacing w:afterLines="160" w:after="384" w:line="360" w:lineRule="auto"/>
              <w:contextualSpacing/>
              <w:jc w:val="center"/>
              <w:rPr>
                <w:rFonts w:ascii="Arial" w:hAnsi="Arial" w:cs="Arial"/>
                <w:b/>
                <w:bCs/>
                <w:sz w:val="24"/>
                <w:szCs w:val="24"/>
              </w:rPr>
            </w:pPr>
          </w:p>
        </w:tc>
      </w:tr>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ERIC EDGARDO QUIJANO GONZÁLEZ</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MARIBEL DEL ROSARIO CHUC AYALA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r>
      <w:tr w:rsidR="00F613AC" w:rsidRPr="00683375">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WILBER DZUL CANUL</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c>
          <w:tcPr>
            <w:tcW w:w="4414" w:type="dxa"/>
          </w:tcPr>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_______________________________</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DIP. AYDÉ VERÓNICA INTERIÁN ARGUELLO,</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r w:rsidRPr="00683375">
              <w:rPr>
                <w:rFonts w:ascii="Arial" w:hAnsi="Arial" w:cs="Arial"/>
                <w:b/>
                <w:bCs/>
                <w:sz w:val="24"/>
                <w:szCs w:val="24"/>
              </w:rPr>
              <w:t>INTEGRANTE DE LA FRACCIÓN LEGISLATIVA DE MORENA</w:t>
            </w:r>
          </w:p>
          <w:p w:rsidR="00F613AC" w:rsidRPr="00683375" w:rsidRDefault="00F613AC" w:rsidP="003B641C">
            <w:pPr>
              <w:autoSpaceDE w:val="0"/>
              <w:autoSpaceDN w:val="0"/>
              <w:adjustRightInd w:val="0"/>
              <w:spacing w:afterLines="160" w:after="384" w:line="360" w:lineRule="auto"/>
              <w:contextualSpacing/>
              <w:jc w:val="center"/>
              <w:rPr>
                <w:rFonts w:ascii="Arial" w:hAnsi="Arial" w:cs="Arial"/>
                <w:b/>
                <w:bCs/>
                <w:sz w:val="24"/>
                <w:szCs w:val="24"/>
              </w:rPr>
            </w:pPr>
          </w:p>
        </w:tc>
      </w:tr>
    </w:tbl>
    <w:p w:rsidR="00F613AC" w:rsidRPr="00683375" w:rsidRDefault="00F613AC" w:rsidP="003B641C">
      <w:pPr>
        <w:rPr>
          <w:rFonts w:ascii="Arial" w:hAnsi="Arial" w:cs="Arial"/>
          <w:sz w:val="24"/>
          <w:szCs w:val="24"/>
        </w:rPr>
      </w:pPr>
    </w:p>
    <w:p w:rsidR="00F613AC" w:rsidRPr="00683375" w:rsidRDefault="00F613AC" w:rsidP="003B641C">
      <w:pPr>
        <w:spacing w:line="276" w:lineRule="auto"/>
        <w:jc w:val="center"/>
        <w:rPr>
          <w:rFonts w:ascii="Arial" w:hAnsi="Arial" w:cs="Arial"/>
          <w:sz w:val="24"/>
          <w:szCs w:val="24"/>
        </w:rPr>
      </w:pPr>
    </w:p>
    <w:p w:rsidR="00F613AC" w:rsidRPr="00683375" w:rsidRDefault="00F613AC" w:rsidP="003B641C">
      <w:pPr>
        <w:spacing w:line="360" w:lineRule="auto"/>
        <w:jc w:val="center"/>
        <w:rPr>
          <w:rFonts w:ascii="Arial" w:hAnsi="Arial" w:cs="Arial"/>
          <w:b/>
          <w:bCs/>
          <w:sz w:val="24"/>
          <w:szCs w:val="24"/>
        </w:rPr>
      </w:pPr>
    </w:p>
    <w:p w:rsidR="00FA51E4" w:rsidRPr="00683375" w:rsidRDefault="00FA51E4" w:rsidP="00FA51E4">
      <w:pPr>
        <w:spacing w:line="360" w:lineRule="auto"/>
        <w:jc w:val="center"/>
        <w:rPr>
          <w:rFonts w:ascii="Arial" w:hAnsi="Arial" w:cs="Arial"/>
          <w:b/>
          <w:bCs/>
          <w:sz w:val="24"/>
          <w:szCs w:val="24"/>
        </w:rPr>
      </w:pPr>
    </w:p>
    <w:sectPr w:rsidR="00FA51E4" w:rsidRPr="00683375" w:rsidSect="00F613AC">
      <w:headerReference w:type="default" r:id="rId8"/>
      <w:footerReference w:type="default" r:id="rId9"/>
      <w:pgSz w:w="12240" w:h="15840"/>
      <w:pgMar w:top="1991"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CC3" w:rsidRDefault="00E83CC3" w:rsidP="00E02595">
      <w:pPr>
        <w:spacing w:after="0" w:line="240" w:lineRule="auto"/>
      </w:pPr>
      <w:r>
        <w:separator/>
      </w:r>
    </w:p>
  </w:endnote>
  <w:endnote w:type="continuationSeparator" w:id="0">
    <w:p w:rsidR="00E83CC3" w:rsidRDefault="00E83CC3" w:rsidP="00E0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rPr>
      <w:id w:val="616947052"/>
      <w:docPartObj>
        <w:docPartGallery w:val="Page Numbers (Bottom of Page)"/>
        <w:docPartUnique/>
      </w:docPartObj>
    </w:sdtPr>
    <w:sdtContent>
      <w:p w:rsidR="00F602C3" w:rsidRPr="00F602C3" w:rsidRDefault="00F602C3">
        <w:pPr>
          <w:pStyle w:val="Piedepgina"/>
          <w:jc w:val="center"/>
          <w:rPr>
            <w:b/>
            <w:sz w:val="24"/>
          </w:rPr>
        </w:pPr>
        <w:r w:rsidRPr="00F602C3">
          <w:rPr>
            <w:b/>
            <w:sz w:val="24"/>
          </w:rPr>
          <w:fldChar w:fldCharType="begin"/>
        </w:r>
        <w:r w:rsidRPr="00F602C3">
          <w:rPr>
            <w:b/>
            <w:sz w:val="24"/>
          </w:rPr>
          <w:instrText>PAGE   \* MERGEFORMAT</w:instrText>
        </w:r>
        <w:r w:rsidRPr="00F602C3">
          <w:rPr>
            <w:b/>
            <w:sz w:val="24"/>
          </w:rPr>
          <w:fldChar w:fldCharType="separate"/>
        </w:r>
        <w:r w:rsidR="00485FF0" w:rsidRPr="00485FF0">
          <w:rPr>
            <w:b/>
            <w:noProof/>
            <w:sz w:val="24"/>
            <w:lang w:val="es-ES"/>
          </w:rPr>
          <w:t>17</w:t>
        </w:r>
        <w:r w:rsidRPr="00F602C3">
          <w:rPr>
            <w:b/>
            <w:sz w:val="24"/>
          </w:rPr>
          <w:fldChar w:fldCharType="end"/>
        </w:r>
      </w:p>
    </w:sdtContent>
  </w:sdt>
  <w:p w:rsidR="00F602C3" w:rsidRPr="00F602C3" w:rsidRDefault="00F602C3">
    <w:pPr>
      <w:pStyle w:val="Piedepgina"/>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CC3" w:rsidRDefault="00E83CC3" w:rsidP="00E02595">
      <w:pPr>
        <w:spacing w:after="0" w:line="240" w:lineRule="auto"/>
      </w:pPr>
      <w:r>
        <w:separator/>
      </w:r>
    </w:p>
  </w:footnote>
  <w:footnote w:type="continuationSeparator" w:id="0">
    <w:p w:rsidR="00E83CC3" w:rsidRDefault="00E83CC3" w:rsidP="00E0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595" w:rsidRDefault="00FF1269">
    <w:pPr>
      <w:pStyle w:val="Encabezado"/>
    </w:pPr>
    <w:r>
      <w:rPr>
        <w:noProof/>
        <w:lang w:eastAsia="es-MX"/>
      </w:rPr>
      <w:drawing>
        <wp:anchor distT="0" distB="0" distL="114300" distR="114300" simplePos="0" relativeHeight="251660288" behindDoc="0" locked="0" layoutInCell="1" allowOverlap="1" wp14:anchorId="24509D13" wp14:editId="395E7421">
          <wp:simplePos x="0" y="0"/>
          <wp:positionH relativeFrom="margin">
            <wp:posOffset>3912306</wp:posOffset>
          </wp:positionH>
          <wp:positionV relativeFrom="paragraph">
            <wp:posOffset>-21383</wp:posOffset>
          </wp:positionV>
          <wp:extent cx="2116038" cy="579812"/>
          <wp:effectExtent l="0" t="0" r="0" b="0"/>
          <wp:wrapThrough wrapText="bothSides">
            <wp:wrapPolygon edited="0">
              <wp:start x="8363" y="0"/>
              <wp:lineTo x="0" y="1419"/>
              <wp:lineTo x="0" y="19163"/>
              <wp:lineTo x="8946" y="20583"/>
              <wp:lineTo x="9724" y="20583"/>
              <wp:lineTo x="21393" y="19873"/>
              <wp:lineTo x="21393" y="12775"/>
              <wp:lineTo x="20615" y="12775"/>
              <wp:lineTo x="20809" y="1419"/>
              <wp:lineTo x="16142" y="0"/>
              <wp:lineTo x="8363" y="0"/>
            </wp:wrapPolygon>
          </wp:wrapThrough>
          <wp:docPr id="2075772317" name="Imagen 6"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72317" name="Imagen 6"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211" cy="5812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1" locked="0" layoutInCell="1" allowOverlap="1" wp14:anchorId="3908C43B" wp14:editId="178DE387">
          <wp:simplePos x="0" y="0"/>
          <wp:positionH relativeFrom="margin">
            <wp:posOffset>-85550</wp:posOffset>
          </wp:positionH>
          <wp:positionV relativeFrom="paragraph">
            <wp:posOffset>5514</wp:posOffset>
          </wp:positionV>
          <wp:extent cx="2026570" cy="586056"/>
          <wp:effectExtent l="0" t="0" r="0" b="5080"/>
          <wp:wrapTight wrapText="bothSides">
            <wp:wrapPolygon edited="0">
              <wp:start x="406" y="0"/>
              <wp:lineTo x="0" y="2108"/>
              <wp:lineTo x="0" y="18976"/>
              <wp:lineTo x="4264" y="21085"/>
              <wp:lineTo x="5483" y="21085"/>
              <wp:lineTo x="21322" y="18976"/>
              <wp:lineTo x="21119" y="11245"/>
              <wp:lineTo x="20713" y="2811"/>
              <wp:lineTo x="19901" y="0"/>
              <wp:lineTo x="406" y="0"/>
            </wp:wrapPolygon>
          </wp:wrapTight>
          <wp:docPr id="1666823298"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23298" name="Imagen 5"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162" cy="5891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1312" behindDoc="1" locked="0" layoutInCell="1" allowOverlap="1" wp14:anchorId="6908388C" wp14:editId="7799F7C4">
          <wp:simplePos x="0" y="0"/>
          <wp:positionH relativeFrom="margin">
            <wp:posOffset>2217618</wp:posOffset>
          </wp:positionH>
          <wp:positionV relativeFrom="paragraph">
            <wp:posOffset>-113873</wp:posOffset>
          </wp:positionV>
          <wp:extent cx="1512646" cy="840590"/>
          <wp:effectExtent l="0" t="0" r="0" b="0"/>
          <wp:wrapTight wrapText="bothSides">
            <wp:wrapPolygon edited="0">
              <wp:start x="3537" y="0"/>
              <wp:lineTo x="2720" y="1469"/>
              <wp:lineTo x="816" y="6857"/>
              <wp:lineTo x="816" y="16163"/>
              <wp:lineTo x="1632" y="16653"/>
              <wp:lineTo x="4897" y="17143"/>
              <wp:lineTo x="5169" y="19592"/>
              <wp:lineTo x="16322" y="19592"/>
              <wp:lineTo x="16594" y="17143"/>
              <wp:lineTo x="19587" y="16653"/>
              <wp:lineTo x="21219" y="15673"/>
              <wp:lineTo x="20675" y="7837"/>
              <wp:lineTo x="18771" y="1469"/>
              <wp:lineTo x="17955" y="0"/>
              <wp:lineTo x="3537" y="0"/>
            </wp:wrapPolygon>
          </wp:wrapTight>
          <wp:docPr id="510549204"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49204" name="Imagen 3" descr="Logotipo, nombre de la empresa&#10;&#10;El contenido generado por IA puede ser incorrecto."/>
                  <pic:cNvPicPr>
                    <a:picLocks noChangeAspect="1" noChangeArrowheads="1"/>
                  </pic:cNvPicPr>
                </pic:nvPicPr>
                <pic:blipFill rotWithShape="1">
                  <a:blip r:embed="rId3">
                    <a:extLst>
                      <a:ext uri="{28A0092B-C50C-407E-A947-70E740481C1C}">
                        <a14:useLocalDpi xmlns:a14="http://schemas.microsoft.com/office/drawing/2010/main" val="0"/>
                      </a:ext>
                    </a:extLst>
                  </a:blip>
                  <a:srcRect l="22602" t="21146" r="22991" b="17763"/>
                  <a:stretch>
                    <a:fillRect/>
                  </a:stretch>
                </pic:blipFill>
                <pic:spPr bwMode="auto">
                  <a:xfrm>
                    <a:off x="0" y="0"/>
                    <a:ext cx="1519538" cy="844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DBD"/>
    <w:multiLevelType w:val="hybridMultilevel"/>
    <w:tmpl w:val="230E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5B1A28"/>
    <w:multiLevelType w:val="hybridMultilevel"/>
    <w:tmpl w:val="5A8E7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EC01CD"/>
    <w:multiLevelType w:val="hybridMultilevel"/>
    <w:tmpl w:val="F6FCCEDC"/>
    <w:lvl w:ilvl="0" w:tplc="B39E25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6F7ECD"/>
    <w:multiLevelType w:val="hybridMultilevel"/>
    <w:tmpl w:val="773E034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D36236"/>
    <w:multiLevelType w:val="hybridMultilevel"/>
    <w:tmpl w:val="773E034C"/>
    <w:lvl w:ilvl="0" w:tplc="1FC080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80187"/>
    <w:multiLevelType w:val="hybridMultilevel"/>
    <w:tmpl w:val="69C2D964"/>
    <w:lvl w:ilvl="0" w:tplc="C78A77C0">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30B7822"/>
    <w:multiLevelType w:val="hybridMultilevel"/>
    <w:tmpl w:val="E82A31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5032400">
    <w:abstractNumId w:val="4"/>
  </w:num>
  <w:num w:numId="2" w16cid:durableId="1422339038">
    <w:abstractNumId w:val="2"/>
  </w:num>
  <w:num w:numId="3" w16cid:durableId="1475610137">
    <w:abstractNumId w:val="3"/>
  </w:num>
  <w:num w:numId="4" w16cid:durableId="1923441492">
    <w:abstractNumId w:val="5"/>
  </w:num>
  <w:num w:numId="5" w16cid:durableId="1274703203">
    <w:abstractNumId w:val="0"/>
  </w:num>
  <w:num w:numId="6" w16cid:durableId="803082225">
    <w:abstractNumId w:val="1"/>
  </w:num>
  <w:num w:numId="7" w16cid:durableId="191499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66F"/>
    <w:rsid w:val="00004541"/>
    <w:rsid w:val="0001324C"/>
    <w:rsid w:val="00017B10"/>
    <w:rsid w:val="000214C1"/>
    <w:rsid w:val="00024543"/>
    <w:rsid w:val="000329D7"/>
    <w:rsid w:val="00055852"/>
    <w:rsid w:val="000622CB"/>
    <w:rsid w:val="00065B77"/>
    <w:rsid w:val="00085AB2"/>
    <w:rsid w:val="00097330"/>
    <w:rsid w:val="000B53E6"/>
    <w:rsid w:val="000E451E"/>
    <w:rsid w:val="000F2970"/>
    <w:rsid w:val="000F310D"/>
    <w:rsid w:val="0011325B"/>
    <w:rsid w:val="00125D1D"/>
    <w:rsid w:val="00133450"/>
    <w:rsid w:val="00161FC9"/>
    <w:rsid w:val="00163BA9"/>
    <w:rsid w:val="001671C0"/>
    <w:rsid w:val="00185343"/>
    <w:rsid w:val="0019448F"/>
    <w:rsid w:val="001A0DDE"/>
    <w:rsid w:val="001A6C73"/>
    <w:rsid w:val="001B24B6"/>
    <w:rsid w:val="001C26FA"/>
    <w:rsid w:val="001C7CAD"/>
    <w:rsid w:val="001D346C"/>
    <w:rsid w:val="001F4528"/>
    <w:rsid w:val="00202499"/>
    <w:rsid w:val="002064B3"/>
    <w:rsid w:val="0021187D"/>
    <w:rsid w:val="00212D62"/>
    <w:rsid w:val="00224836"/>
    <w:rsid w:val="0022533F"/>
    <w:rsid w:val="00230193"/>
    <w:rsid w:val="00234CE0"/>
    <w:rsid w:val="0023501B"/>
    <w:rsid w:val="002972D3"/>
    <w:rsid w:val="002B1CDD"/>
    <w:rsid w:val="002D22EC"/>
    <w:rsid w:val="002D2378"/>
    <w:rsid w:val="002E414C"/>
    <w:rsid w:val="002E419D"/>
    <w:rsid w:val="00306868"/>
    <w:rsid w:val="00312BBE"/>
    <w:rsid w:val="00323243"/>
    <w:rsid w:val="003345FE"/>
    <w:rsid w:val="003358BA"/>
    <w:rsid w:val="00340C88"/>
    <w:rsid w:val="00354205"/>
    <w:rsid w:val="00364D28"/>
    <w:rsid w:val="00371F32"/>
    <w:rsid w:val="00384578"/>
    <w:rsid w:val="003845B1"/>
    <w:rsid w:val="00397BF6"/>
    <w:rsid w:val="003B2FBE"/>
    <w:rsid w:val="003B3033"/>
    <w:rsid w:val="003B5636"/>
    <w:rsid w:val="003B641C"/>
    <w:rsid w:val="003C0BA5"/>
    <w:rsid w:val="003C5463"/>
    <w:rsid w:val="003F7286"/>
    <w:rsid w:val="00403AD9"/>
    <w:rsid w:val="00410918"/>
    <w:rsid w:val="004202C6"/>
    <w:rsid w:val="0044563A"/>
    <w:rsid w:val="00460418"/>
    <w:rsid w:val="00485FF0"/>
    <w:rsid w:val="00486B3A"/>
    <w:rsid w:val="00486B7E"/>
    <w:rsid w:val="004B082F"/>
    <w:rsid w:val="004C4161"/>
    <w:rsid w:val="004D1AD2"/>
    <w:rsid w:val="004D5E2B"/>
    <w:rsid w:val="004D64E0"/>
    <w:rsid w:val="004E1347"/>
    <w:rsid w:val="004E1A50"/>
    <w:rsid w:val="004F4193"/>
    <w:rsid w:val="004F41D3"/>
    <w:rsid w:val="004F6F3E"/>
    <w:rsid w:val="00506E60"/>
    <w:rsid w:val="00507736"/>
    <w:rsid w:val="00510E63"/>
    <w:rsid w:val="00532BA3"/>
    <w:rsid w:val="00537AB3"/>
    <w:rsid w:val="00542CF6"/>
    <w:rsid w:val="00543155"/>
    <w:rsid w:val="0055464A"/>
    <w:rsid w:val="005721B2"/>
    <w:rsid w:val="005C394E"/>
    <w:rsid w:val="005C6E78"/>
    <w:rsid w:val="005D1C99"/>
    <w:rsid w:val="00621147"/>
    <w:rsid w:val="00623241"/>
    <w:rsid w:val="0063366F"/>
    <w:rsid w:val="0064152F"/>
    <w:rsid w:val="00645A61"/>
    <w:rsid w:val="00646C81"/>
    <w:rsid w:val="00654AF9"/>
    <w:rsid w:val="00683375"/>
    <w:rsid w:val="006836D7"/>
    <w:rsid w:val="00684F27"/>
    <w:rsid w:val="00692C3E"/>
    <w:rsid w:val="006A46D2"/>
    <w:rsid w:val="006E3C04"/>
    <w:rsid w:val="006E7196"/>
    <w:rsid w:val="007006FA"/>
    <w:rsid w:val="00703F79"/>
    <w:rsid w:val="0070494A"/>
    <w:rsid w:val="00713C8A"/>
    <w:rsid w:val="00736BBE"/>
    <w:rsid w:val="0074047C"/>
    <w:rsid w:val="00745B11"/>
    <w:rsid w:val="007508E8"/>
    <w:rsid w:val="00776712"/>
    <w:rsid w:val="007842BC"/>
    <w:rsid w:val="0078776D"/>
    <w:rsid w:val="007A426D"/>
    <w:rsid w:val="007B05FD"/>
    <w:rsid w:val="007C4514"/>
    <w:rsid w:val="007C512E"/>
    <w:rsid w:val="007C662B"/>
    <w:rsid w:val="007D033F"/>
    <w:rsid w:val="007E230F"/>
    <w:rsid w:val="00807095"/>
    <w:rsid w:val="008112C4"/>
    <w:rsid w:val="00812B2B"/>
    <w:rsid w:val="008154C3"/>
    <w:rsid w:val="008210A8"/>
    <w:rsid w:val="00823B70"/>
    <w:rsid w:val="00833C94"/>
    <w:rsid w:val="00843F2F"/>
    <w:rsid w:val="00854841"/>
    <w:rsid w:val="008567E1"/>
    <w:rsid w:val="008812A8"/>
    <w:rsid w:val="00884AC2"/>
    <w:rsid w:val="008864BD"/>
    <w:rsid w:val="008A1C61"/>
    <w:rsid w:val="009024E7"/>
    <w:rsid w:val="00903426"/>
    <w:rsid w:val="0090424D"/>
    <w:rsid w:val="00920148"/>
    <w:rsid w:val="00924BB0"/>
    <w:rsid w:val="00926685"/>
    <w:rsid w:val="00932D6B"/>
    <w:rsid w:val="00962B3E"/>
    <w:rsid w:val="009679C5"/>
    <w:rsid w:val="00971E87"/>
    <w:rsid w:val="00984A6E"/>
    <w:rsid w:val="009932AB"/>
    <w:rsid w:val="009B50B3"/>
    <w:rsid w:val="009D3E91"/>
    <w:rsid w:val="00A0445F"/>
    <w:rsid w:val="00A07A77"/>
    <w:rsid w:val="00A07DF6"/>
    <w:rsid w:val="00A1402B"/>
    <w:rsid w:val="00A161A0"/>
    <w:rsid w:val="00A20CA3"/>
    <w:rsid w:val="00A35002"/>
    <w:rsid w:val="00A8383C"/>
    <w:rsid w:val="00A86421"/>
    <w:rsid w:val="00AA47F9"/>
    <w:rsid w:val="00AB4A0A"/>
    <w:rsid w:val="00AE21FD"/>
    <w:rsid w:val="00AE376B"/>
    <w:rsid w:val="00AE5E34"/>
    <w:rsid w:val="00AF6277"/>
    <w:rsid w:val="00B0240E"/>
    <w:rsid w:val="00B06F3B"/>
    <w:rsid w:val="00B0716C"/>
    <w:rsid w:val="00B13B7C"/>
    <w:rsid w:val="00B17F21"/>
    <w:rsid w:val="00B31D59"/>
    <w:rsid w:val="00B60770"/>
    <w:rsid w:val="00B77416"/>
    <w:rsid w:val="00B80DC3"/>
    <w:rsid w:val="00BA1F5F"/>
    <w:rsid w:val="00BA23DE"/>
    <w:rsid w:val="00BB0449"/>
    <w:rsid w:val="00BB25ED"/>
    <w:rsid w:val="00BB7B1C"/>
    <w:rsid w:val="00BC4A15"/>
    <w:rsid w:val="00BD581A"/>
    <w:rsid w:val="00BE33C7"/>
    <w:rsid w:val="00BE43B7"/>
    <w:rsid w:val="00BE7DBF"/>
    <w:rsid w:val="00BF6BE1"/>
    <w:rsid w:val="00C22F9A"/>
    <w:rsid w:val="00C272FE"/>
    <w:rsid w:val="00C344F3"/>
    <w:rsid w:val="00C37731"/>
    <w:rsid w:val="00C41DAD"/>
    <w:rsid w:val="00C42ACE"/>
    <w:rsid w:val="00C65E6E"/>
    <w:rsid w:val="00C82CED"/>
    <w:rsid w:val="00C91B54"/>
    <w:rsid w:val="00CC0152"/>
    <w:rsid w:val="00CC6AF5"/>
    <w:rsid w:val="00CD7A4D"/>
    <w:rsid w:val="00CE6F9A"/>
    <w:rsid w:val="00D07903"/>
    <w:rsid w:val="00D17F81"/>
    <w:rsid w:val="00D24F9C"/>
    <w:rsid w:val="00D30003"/>
    <w:rsid w:val="00D30BC7"/>
    <w:rsid w:val="00D41F78"/>
    <w:rsid w:val="00D43D2E"/>
    <w:rsid w:val="00D564A0"/>
    <w:rsid w:val="00D568EE"/>
    <w:rsid w:val="00D73E80"/>
    <w:rsid w:val="00D83BE4"/>
    <w:rsid w:val="00D92203"/>
    <w:rsid w:val="00DA36B3"/>
    <w:rsid w:val="00DB18F2"/>
    <w:rsid w:val="00DB6AA8"/>
    <w:rsid w:val="00DC4D72"/>
    <w:rsid w:val="00DD099C"/>
    <w:rsid w:val="00DF19C9"/>
    <w:rsid w:val="00E02595"/>
    <w:rsid w:val="00E654DF"/>
    <w:rsid w:val="00E72562"/>
    <w:rsid w:val="00E72647"/>
    <w:rsid w:val="00E754EA"/>
    <w:rsid w:val="00E83CC3"/>
    <w:rsid w:val="00EC132C"/>
    <w:rsid w:val="00EC4445"/>
    <w:rsid w:val="00EE1C6E"/>
    <w:rsid w:val="00F002D6"/>
    <w:rsid w:val="00F1365B"/>
    <w:rsid w:val="00F21846"/>
    <w:rsid w:val="00F26018"/>
    <w:rsid w:val="00F35C48"/>
    <w:rsid w:val="00F3625D"/>
    <w:rsid w:val="00F46845"/>
    <w:rsid w:val="00F47E31"/>
    <w:rsid w:val="00F54E10"/>
    <w:rsid w:val="00F565DC"/>
    <w:rsid w:val="00F602C3"/>
    <w:rsid w:val="00F613AC"/>
    <w:rsid w:val="00F75943"/>
    <w:rsid w:val="00F75F73"/>
    <w:rsid w:val="00F92979"/>
    <w:rsid w:val="00F93F54"/>
    <w:rsid w:val="00F95F70"/>
    <w:rsid w:val="00FA51E4"/>
    <w:rsid w:val="00FC5D5E"/>
    <w:rsid w:val="00FD2015"/>
    <w:rsid w:val="00FF126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5776"/>
  <w15:chartTrackingRefBased/>
  <w15:docId w15:val="{D2810B0B-25BB-4613-AB79-733D5D42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3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3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36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36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36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36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36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36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36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6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36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36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36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36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36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36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36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366F"/>
    <w:rPr>
      <w:rFonts w:eastAsiaTheme="majorEastAsia" w:cstheme="majorBidi"/>
      <w:color w:val="272727" w:themeColor="text1" w:themeTint="D8"/>
    </w:rPr>
  </w:style>
  <w:style w:type="paragraph" w:styleId="Ttulo">
    <w:name w:val="Title"/>
    <w:basedOn w:val="Normal"/>
    <w:next w:val="Normal"/>
    <w:link w:val="TtuloCar"/>
    <w:uiPriority w:val="10"/>
    <w:qFormat/>
    <w:rsid w:val="00633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36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36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36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366F"/>
    <w:pPr>
      <w:spacing w:before="160"/>
      <w:jc w:val="center"/>
    </w:pPr>
    <w:rPr>
      <w:i/>
      <w:iCs/>
      <w:color w:val="404040" w:themeColor="text1" w:themeTint="BF"/>
    </w:rPr>
  </w:style>
  <w:style w:type="character" w:customStyle="1" w:styleId="CitaCar">
    <w:name w:val="Cita Car"/>
    <w:basedOn w:val="Fuentedeprrafopredeter"/>
    <w:link w:val="Cita"/>
    <w:uiPriority w:val="29"/>
    <w:rsid w:val="0063366F"/>
    <w:rPr>
      <w:i/>
      <w:iCs/>
      <w:color w:val="404040" w:themeColor="text1" w:themeTint="BF"/>
    </w:rPr>
  </w:style>
  <w:style w:type="paragraph" w:styleId="Prrafodelista">
    <w:name w:val="List Paragraph"/>
    <w:basedOn w:val="Normal"/>
    <w:uiPriority w:val="34"/>
    <w:qFormat/>
    <w:rsid w:val="0063366F"/>
    <w:pPr>
      <w:ind w:left="720"/>
      <w:contextualSpacing/>
    </w:pPr>
  </w:style>
  <w:style w:type="character" w:styleId="nfasisintenso">
    <w:name w:val="Intense Emphasis"/>
    <w:basedOn w:val="Fuentedeprrafopredeter"/>
    <w:uiPriority w:val="21"/>
    <w:qFormat/>
    <w:rsid w:val="0063366F"/>
    <w:rPr>
      <w:i/>
      <w:iCs/>
      <w:color w:val="0F4761" w:themeColor="accent1" w:themeShade="BF"/>
    </w:rPr>
  </w:style>
  <w:style w:type="paragraph" w:styleId="Citadestacada">
    <w:name w:val="Intense Quote"/>
    <w:basedOn w:val="Normal"/>
    <w:next w:val="Normal"/>
    <w:link w:val="CitadestacadaCar"/>
    <w:uiPriority w:val="30"/>
    <w:qFormat/>
    <w:rsid w:val="00633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366F"/>
    <w:rPr>
      <w:i/>
      <w:iCs/>
      <w:color w:val="0F4761" w:themeColor="accent1" w:themeShade="BF"/>
    </w:rPr>
  </w:style>
  <w:style w:type="character" w:styleId="Referenciaintensa">
    <w:name w:val="Intense Reference"/>
    <w:basedOn w:val="Fuentedeprrafopredeter"/>
    <w:uiPriority w:val="32"/>
    <w:qFormat/>
    <w:rsid w:val="0063366F"/>
    <w:rPr>
      <w:b/>
      <w:bCs/>
      <w:smallCaps/>
      <w:color w:val="0F4761" w:themeColor="accent1" w:themeShade="BF"/>
      <w:spacing w:val="5"/>
    </w:rPr>
  </w:style>
  <w:style w:type="paragraph" w:styleId="Textodeglobo">
    <w:name w:val="Balloon Text"/>
    <w:basedOn w:val="Normal"/>
    <w:link w:val="TextodegloboCar"/>
    <w:uiPriority w:val="99"/>
    <w:semiHidden/>
    <w:unhideWhenUsed/>
    <w:rsid w:val="00537A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AB3"/>
    <w:rPr>
      <w:rFonts w:ascii="Segoe UI" w:hAnsi="Segoe UI" w:cs="Segoe UI"/>
      <w:sz w:val="18"/>
      <w:szCs w:val="18"/>
    </w:rPr>
  </w:style>
  <w:style w:type="paragraph" w:styleId="Encabezado">
    <w:name w:val="header"/>
    <w:basedOn w:val="Normal"/>
    <w:link w:val="EncabezadoCar"/>
    <w:uiPriority w:val="99"/>
    <w:unhideWhenUsed/>
    <w:rsid w:val="00E025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2595"/>
  </w:style>
  <w:style w:type="paragraph" w:styleId="Piedepgina">
    <w:name w:val="footer"/>
    <w:basedOn w:val="Normal"/>
    <w:link w:val="PiedepginaCar"/>
    <w:uiPriority w:val="99"/>
    <w:unhideWhenUsed/>
    <w:rsid w:val="00E025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2595"/>
  </w:style>
  <w:style w:type="table" w:styleId="Tablaconcuadrcula">
    <w:name w:val="Table Grid"/>
    <w:basedOn w:val="Tablanormal"/>
    <w:uiPriority w:val="39"/>
    <w:rsid w:val="00F6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4F0F-3A71-49EC-8909-1470188B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4223</Words>
  <Characters>23228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Hernández Arana</dc:creator>
  <cp:keywords/>
  <dc:description/>
  <cp:lastModifiedBy>Junta de Gobierno y Coordinación Política</cp:lastModifiedBy>
  <cp:revision>1</cp:revision>
  <cp:lastPrinted>2025-10-19T00:31:00Z</cp:lastPrinted>
  <dcterms:created xsi:type="dcterms:W3CDTF">2025-11-07T16:40:00Z</dcterms:created>
  <dcterms:modified xsi:type="dcterms:W3CDTF">2025-11-07T16:40:00Z</dcterms:modified>
</cp:coreProperties>
</file>